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3494E" w14:textId="6B351816" w:rsidR="00C805C2" w:rsidRPr="00BE3736" w:rsidRDefault="009773B6" w:rsidP="00BE3736">
      <w:pPr>
        <w:autoSpaceDE w:val="0"/>
        <w:autoSpaceDN w:val="0"/>
        <w:spacing w:after="0"/>
        <w:rPr>
          <w:rFonts w:eastAsia="MS PGothic"/>
          <w:b/>
          <w:color w:val="808080" w:themeColor="background1" w:themeShade="80"/>
          <w:sz w:val="36"/>
        </w:rPr>
      </w:pPr>
      <w:r w:rsidRPr="009773B6">
        <w:rPr>
          <w:rFonts w:eastAsia="MS PGothic"/>
          <w:b/>
          <w:color w:val="808080" w:themeColor="background1" w:themeShade="80"/>
          <w:sz w:val="36"/>
        </w:rPr>
        <w:drawing>
          <wp:anchor distT="0" distB="0" distL="114300" distR="114300" simplePos="0" relativeHeight="251658240" behindDoc="0" locked="0" layoutInCell="1" allowOverlap="1" wp14:anchorId="6C6C59D2" wp14:editId="366FC463">
            <wp:simplePos x="0" y="0"/>
            <wp:positionH relativeFrom="column">
              <wp:posOffset>3550920</wp:posOffset>
            </wp:positionH>
            <wp:positionV relativeFrom="paragraph">
              <wp:posOffset>-257810</wp:posOffset>
            </wp:positionV>
            <wp:extent cx="3035300" cy="402026"/>
            <wp:effectExtent l="0" t="0" r="0" b="4445"/>
            <wp:wrapNone/>
            <wp:docPr id="1563152619" name="Picture 1" descr="A blue and white logo&#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152619" name="Picture 1" descr="A blue and white logo&#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035300" cy="402026"/>
                    </a:xfrm>
                    <a:prstGeom prst="rect">
                      <a:avLst/>
                    </a:prstGeom>
                  </pic:spPr>
                </pic:pic>
              </a:graphicData>
            </a:graphic>
            <wp14:sizeRelH relativeFrom="page">
              <wp14:pctWidth>0</wp14:pctWidth>
            </wp14:sizeRelH>
            <wp14:sizeRelV relativeFrom="page">
              <wp14:pctHeight>0</wp14:pctHeight>
            </wp14:sizeRelV>
          </wp:anchor>
        </w:drawing>
      </w:r>
      <w:r w:rsidR="006E584A" w:rsidRPr="00BE3736">
        <w:rPr>
          <w:rFonts w:eastAsia="MS PGothic"/>
          <w:b/>
          <w:color w:val="808080" w:themeColor="background1" w:themeShade="80"/>
          <w:sz w:val="36"/>
        </w:rPr>
        <w:t>ビジネス財務計画</w:t>
      </w:r>
    </w:p>
    <w:p w14:paraId="4AE02CC5" w14:textId="77777777" w:rsidR="007871F5" w:rsidRPr="00BE3736" w:rsidRDefault="007871F5" w:rsidP="00BE3736">
      <w:pPr>
        <w:autoSpaceDE w:val="0"/>
        <w:autoSpaceDN w:val="0"/>
        <w:spacing w:after="0"/>
        <w:rPr>
          <w:rFonts w:eastAsia="MS PGothic"/>
          <w:b/>
          <w:color w:val="808080" w:themeColor="background1" w:themeShade="80"/>
          <w:sz w:val="20"/>
          <w:szCs w:val="20"/>
        </w:rPr>
      </w:pPr>
    </w:p>
    <w:p w14:paraId="15226FF0" w14:textId="77777777" w:rsidR="001B18BA" w:rsidRPr="00BE3736" w:rsidRDefault="007871F5" w:rsidP="00BE3736">
      <w:pPr>
        <w:pStyle w:val="Heading1"/>
        <w:numPr>
          <w:ilvl w:val="0"/>
          <w:numId w:val="1"/>
        </w:numPr>
        <w:autoSpaceDE w:val="0"/>
        <w:autoSpaceDN w:val="0"/>
        <w:ind w:left="360"/>
        <w:rPr>
          <w:rFonts w:eastAsia="MS PGothic"/>
          <w:szCs w:val="20"/>
        </w:rPr>
      </w:pPr>
      <w:r w:rsidRPr="00BE3736">
        <w:rPr>
          <w:rFonts w:eastAsia="MS PGothic"/>
        </w:rPr>
        <w:t>財務概要</w:t>
      </w:r>
    </w:p>
    <w:tbl>
      <w:tblPr>
        <w:tblStyle w:val="TableGrid"/>
        <w:tblW w:w="0" w:type="auto"/>
        <w:tblInd w:w="-10" w:type="dxa"/>
        <w:tblLook w:val="04A0" w:firstRow="1" w:lastRow="0" w:firstColumn="1" w:lastColumn="0" w:noHBand="0" w:noVBand="1"/>
      </w:tblPr>
      <w:tblGrid>
        <w:gridCol w:w="10350"/>
      </w:tblGrid>
      <w:tr w:rsidR="001B18BA" w:rsidRPr="00BE3736" w14:paraId="55A81C30" w14:textId="77777777" w:rsidTr="007871F5">
        <w:trPr>
          <w:trHeight w:val="4896"/>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288" w:type="dxa"/>
              <w:left w:w="288" w:type="dxa"/>
              <w:bottom w:w="288" w:type="dxa"/>
              <w:right w:w="288" w:type="dxa"/>
            </w:tcMar>
          </w:tcPr>
          <w:p w14:paraId="652D1304" w14:textId="2F3442DA" w:rsidR="001B18BA" w:rsidRPr="00BE3736" w:rsidRDefault="007871F5" w:rsidP="00BE3736">
            <w:pPr>
              <w:autoSpaceDE w:val="0"/>
              <w:autoSpaceDN w:val="0"/>
              <w:spacing w:line="276" w:lineRule="auto"/>
              <w:ind w:left="-22" w:right="130"/>
              <w:rPr>
                <w:rFonts w:eastAsia="MS PGothic"/>
                <w:iCs/>
                <w:color w:val="000000" w:themeColor="text1"/>
                <w:sz w:val="18"/>
                <w:szCs w:val="18"/>
              </w:rPr>
            </w:pPr>
            <w:r w:rsidRPr="00BE3736">
              <w:rPr>
                <w:rFonts w:eastAsia="MS PGothic"/>
                <w:sz w:val="20"/>
              </w:rPr>
              <w:t>このセクションを使用して、ビジネス計画の財務コンポーネントの次のセクションで提供する財務データの重要なポイントについて説明します</w:t>
            </w:r>
            <w:r w:rsidR="00C476DB">
              <w:rPr>
                <w:rFonts w:eastAsia="MS PGothic"/>
                <w:sz w:val="20"/>
              </w:rPr>
              <w:t>。</w:t>
            </w:r>
          </w:p>
          <w:p w14:paraId="0D3F6F93" w14:textId="77777777" w:rsidR="006E584A" w:rsidRPr="00BE3736" w:rsidRDefault="006E584A" w:rsidP="00BE3736">
            <w:pPr>
              <w:autoSpaceDE w:val="0"/>
              <w:autoSpaceDN w:val="0"/>
              <w:spacing w:line="276" w:lineRule="auto"/>
              <w:ind w:left="71" w:right="130"/>
              <w:rPr>
                <w:rFonts w:eastAsia="MS PGothic"/>
                <w:iCs/>
                <w:color w:val="000000" w:themeColor="text1"/>
                <w:sz w:val="20"/>
                <w:szCs w:val="20"/>
              </w:rPr>
            </w:pPr>
          </w:p>
        </w:tc>
      </w:tr>
    </w:tbl>
    <w:p w14:paraId="2D4E49B6" w14:textId="77777777" w:rsidR="001B18BA" w:rsidRPr="00BE3736" w:rsidRDefault="001B18BA" w:rsidP="00BE3736">
      <w:pPr>
        <w:autoSpaceDE w:val="0"/>
        <w:autoSpaceDN w:val="0"/>
        <w:ind w:left="360"/>
        <w:rPr>
          <w:rFonts w:eastAsia="MS PGothic"/>
        </w:rPr>
      </w:pPr>
    </w:p>
    <w:p w14:paraId="2F6E90A7" w14:textId="77777777" w:rsidR="00E7173D" w:rsidRPr="00BE3736" w:rsidRDefault="007871F5" w:rsidP="00BE3736">
      <w:pPr>
        <w:pStyle w:val="Heading1"/>
        <w:numPr>
          <w:ilvl w:val="0"/>
          <w:numId w:val="1"/>
        </w:numPr>
        <w:autoSpaceDE w:val="0"/>
        <w:autoSpaceDN w:val="0"/>
        <w:ind w:left="360"/>
        <w:rPr>
          <w:rFonts w:eastAsia="MS PGothic"/>
        </w:rPr>
      </w:pPr>
      <w:r w:rsidRPr="00BE3736">
        <w:rPr>
          <w:rFonts w:eastAsia="MS PGothic"/>
        </w:rPr>
        <w:t>前提</w:t>
      </w:r>
    </w:p>
    <w:tbl>
      <w:tblPr>
        <w:tblStyle w:val="TableGrid"/>
        <w:tblW w:w="0" w:type="auto"/>
        <w:tblInd w:w="-10" w:type="dxa"/>
        <w:tblLook w:val="04A0" w:firstRow="1" w:lastRow="0" w:firstColumn="1" w:lastColumn="0" w:noHBand="0" w:noVBand="1"/>
      </w:tblPr>
      <w:tblGrid>
        <w:gridCol w:w="10350"/>
      </w:tblGrid>
      <w:tr w:rsidR="001B18BA" w:rsidRPr="00BE3736" w14:paraId="285BF570" w14:textId="77777777" w:rsidTr="007871F5">
        <w:trPr>
          <w:trHeight w:val="4896"/>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288" w:type="dxa"/>
              <w:left w:w="288" w:type="dxa"/>
              <w:bottom w:w="288" w:type="dxa"/>
              <w:right w:w="288" w:type="dxa"/>
            </w:tcMar>
          </w:tcPr>
          <w:p w14:paraId="3FB01FB9" w14:textId="77777777" w:rsidR="001B18BA" w:rsidRPr="00BE3736" w:rsidRDefault="007871F5" w:rsidP="00BE3736">
            <w:pPr>
              <w:autoSpaceDE w:val="0"/>
              <w:autoSpaceDN w:val="0"/>
              <w:spacing w:line="276" w:lineRule="auto"/>
              <w:ind w:right="130"/>
              <w:rPr>
                <w:rFonts w:eastAsia="MS PGothic"/>
                <w:iCs/>
                <w:color w:val="000000" w:themeColor="text1"/>
                <w:sz w:val="18"/>
                <w:szCs w:val="18"/>
              </w:rPr>
            </w:pPr>
            <w:r w:rsidRPr="00BE3736">
              <w:rPr>
                <w:rFonts w:eastAsia="MS PGothic"/>
                <w:sz w:val="20"/>
              </w:rPr>
              <w:t>提供される各財務予測は、仮定に基づいています。このセクションを使用して、財務計画全体を通じて提供する数値をサポートするために行われた現実的な仮定を概説し、検証可能な信頼できる参考資料を提供します。</w:t>
            </w:r>
          </w:p>
          <w:p w14:paraId="62BDD9DE" w14:textId="77777777" w:rsidR="00452D61" w:rsidRPr="00BE3736" w:rsidRDefault="00452D61" w:rsidP="00BE3736">
            <w:pPr>
              <w:autoSpaceDE w:val="0"/>
              <w:autoSpaceDN w:val="0"/>
              <w:spacing w:line="276" w:lineRule="auto"/>
              <w:ind w:right="130"/>
              <w:rPr>
                <w:rFonts w:eastAsia="MS PGothic"/>
                <w:iCs/>
                <w:color w:val="000000" w:themeColor="text1"/>
                <w:sz w:val="20"/>
                <w:szCs w:val="20"/>
              </w:rPr>
            </w:pPr>
          </w:p>
        </w:tc>
      </w:tr>
    </w:tbl>
    <w:p w14:paraId="6AE390B8" w14:textId="77777777" w:rsidR="007871F5" w:rsidRPr="00BE3736" w:rsidRDefault="007871F5" w:rsidP="00BE3736">
      <w:pPr>
        <w:autoSpaceDE w:val="0"/>
        <w:autoSpaceDN w:val="0"/>
        <w:ind w:left="360"/>
        <w:rPr>
          <w:rFonts w:eastAsia="MS PGothic"/>
        </w:rPr>
      </w:pPr>
    </w:p>
    <w:p w14:paraId="3733C42D" w14:textId="77777777" w:rsidR="007871F5" w:rsidRPr="00BE3736" w:rsidRDefault="007871F5" w:rsidP="00BE3736">
      <w:pPr>
        <w:pStyle w:val="Heading1"/>
        <w:numPr>
          <w:ilvl w:val="0"/>
          <w:numId w:val="1"/>
        </w:numPr>
        <w:autoSpaceDE w:val="0"/>
        <w:autoSpaceDN w:val="0"/>
        <w:ind w:left="360"/>
        <w:rPr>
          <w:rFonts w:eastAsia="MS PGothic"/>
        </w:rPr>
      </w:pPr>
      <w:r w:rsidRPr="00BE3736">
        <w:rPr>
          <w:rFonts w:eastAsia="MS PGothic"/>
        </w:rPr>
        <w:lastRenderedPageBreak/>
        <w:t>主要財務指標および比率</w:t>
      </w:r>
    </w:p>
    <w:tbl>
      <w:tblPr>
        <w:tblStyle w:val="TableGrid"/>
        <w:tblW w:w="0" w:type="auto"/>
        <w:tblInd w:w="-10" w:type="dxa"/>
        <w:tblLook w:val="04A0" w:firstRow="1" w:lastRow="0" w:firstColumn="1" w:lastColumn="0" w:noHBand="0" w:noVBand="1"/>
      </w:tblPr>
      <w:tblGrid>
        <w:gridCol w:w="10350"/>
      </w:tblGrid>
      <w:tr w:rsidR="007871F5" w:rsidRPr="00BE3736" w14:paraId="5441D106" w14:textId="77777777" w:rsidTr="007871F5">
        <w:trPr>
          <w:trHeight w:val="11952"/>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288" w:type="dxa"/>
              <w:left w:w="288" w:type="dxa"/>
              <w:bottom w:w="288" w:type="dxa"/>
              <w:right w:w="288" w:type="dxa"/>
            </w:tcMar>
          </w:tcPr>
          <w:p w14:paraId="57F9CA63" w14:textId="77777777" w:rsidR="007871F5" w:rsidRPr="00BE3736" w:rsidRDefault="007871F5" w:rsidP="00BE3736">
            <w:pPr>
              <w:autoSpaceDE w:val="0"/>
              <w:autoSpaceDN w:val="0"/>
              <w:spacing w:line="276" w:lineRule="auto"/>
              <w:ind w:right="130"/>
              <w:rPr>
                <w:rFonts w:eastAsia="MS PGothic"/>
                <w:iCs/>
                <w:color w:val="000000" w:themeColor="text1"/>
                <w:sz w:val="20"/>
                <w:szCs w:val="20"/>
              </w:rPr>
            </w:pPr>
            <w:r w:rsidRPr="00BE3736">
              <w:rPr>
                <w:rFonts w:eastAsia="MS PGothic"/>
                <w:color w:val="000000" w:themeColor="text1"/>
                <w:sz w:val="20"/>
              </w:rPr>
              <w:t>このセクションを使用して、財務諸表から抽出された主要な財務指標と比率を強調します。財務比率は、銀行家、アナリスト、投資家がビジネスの財務健全性とポジションを評価するために使用されます。例は次のとおりです。</w:t>
            </w:r>
          </w:p>
          <w:p w14:paraId="24D62237" w14:textId="77777777" w:rsidR="007871F5" w:rsidRPr="00BE3736" w:rsidRDefault="007871F5" w:rsidP="00BE3736">
            <w:pPr>
              <w:autoSpaceDE w:val="0"/>
              <w:autoSpaceDN w:val="0"/>
              <w:spacing w:line="276" w:lineRule="auto"/>
              <w:ind w:right="130"/>
              <w:rPr>
                <w:rFonts w:eastAsia="MS PGothic"/>
                <w:iCs/>
                <w:color w:val="000000" w:themeColor="text1"/>
                <w:sz w:val="20"/>
                <w:szCs w:val="20"/>
              </w:rPr>
            </w:pPr>
          </w:p>
          <w:p w14:paraId="45EB612F" w14:textId="77777777" w:rsidR="007871F5" w:rsidRPr="00BE3736" w:rsidRDefault="007871F5" w:rsidP="00BE3736">
            <w:pPr>
              <w:pStyle w:val="ListParagraph"/>
              <w:numPr>
                <w:ilvl w:val="0"/>
                <w:numId w:val="6"/>
              </w:numPr>
              <w:autoSpaceDE w:val="0"/>
              <w:autoSpaceDN w:val="0"/>
              <w:spacing w:line="276" w:lineRule="auto"/>
              <w:ind w:right="130"/>
              <w:rPr>
                <w:rFonts w:eastAsia="MS PGothic"/>
                <w:iCs/>
                <w:color w:val="000000" w:themeColor="text1"/>
                <w:sz w:val="20"/>
                <w:szCs w:val="20"/>
              </w:rPr>
            </w:pPr>
            <w:r w:rsidRPr="00BE3736">
              <w:rPr>
                <w:rFonts w:eastAsia="MS PGothic"/>
                <w:color w:val="000000" w:themeColor="text1"/>
                <w:sz w:val="20"/>
              </w:rPr>
              <w:t>稼働率</w:t>
            </w:r>
          </w:p>
          <w:p w14:paraId="71FC33AB" w14:textId="77777777" w:rsidR="007871F5" w:rsidRPr="00BE3736" w:rsidRDefault="007871F5" w:rsidP="00BE3736">
            <w:pPr>
              <w:pStyle w:val="ListParagraph"/>
              <w:numPr>
                <w:ilvl w:val="0"/>
                <w:numId w:val="6"/>
              </w:numPr>
              <w:autoSpaceDE w:val="0"/>
              <w:autoSpaceDN w:val="0"/>
              <w:spacing w:line="276" w:lineRule="auto"/>
              <w:ind w:right="130"/>
              <w:rPr>
                <w:rFonts w:eastAsia="MS PGothic"/>
                <w:iCs/>
                <w:color w:val="000000" w:themeColor="text1"/>
                <w:sz w:val="20"/>
                <w:szCs w:val="20"/>
              </w:rPr>
            </w:pPr>
            <w:r w:rsidRPr="00BE3736">
              <w:rPr>
                <w:rFonts w:eastAsia="MS PGothic"/>
                <w:color w:val="000000" w:themeColor="text1"/>
                <w:sz w:val="20"/>
              </w:rPr>
              <w:t>流動性比率</w:t>
            </w:r>
          </w:p>
          <w:p w14:paraId="73572107" w14:textId="77777777" w:rsidR="007871F5" w:rsidRPr="00BE3736" w:rsidRDefault="007871F5" w:rsidP="00BE3736">
            <w:pPr>
              <w:pStyle w:val="ListParagraph"/>
              <w:numPr>
                <w:ilvl w:val="0"/>
                <w:numId w:val="6"/>
              </w:numPr>
              <w:autoSpaceDE w:val="0"/>
              <w:autoSpaceDN w:val="0"/>
              <w:spacing w:line="276" w:lineRule="auto"/>
              <w:ind w:right="130"/>
              <w:rPr>
                <w:rFonts w:eastAsia="MS PGothic"/>
                <w:iCs/>
                <w:color w:val="000000" w:themeColor="text1"/>
                <w:sz w:val="20"/>
                <w:szCs w:val="20"/>
              </w:rPr>
            </w:pPr>
            <w:r w:rsidRPr="00BE3736">
              <w:rPr>
                <w:rFonts w:eastAsia="MS PGothic"/>
                <w:color w:val="000000" w:themeColor="text1"/>
                <w:sz w:val="20"/>
              </w:rPr>
              <w:t>負債比率</w:t>
            </w:r>
          </w:p>
          <w:p w14:paraId="709AF7C3" w14:textId="77777777" w:rsidR="007871F5" w:rsidRPr="00BE3736" w:rsidRDefault="007871F5" w:rsidP="00BE3736">
            <w:pPr>
              <w:pStyle w:val="ListParagraph"/>
              <w:numPr>
                <w:ilvl w:val="0"/>
                <w:numId w:val="6"/>
              </w:numPr>
              <w:autoSpaceDE w:val="0"/>
              <w:autoSpaceDN w:val="0"/>
              <w:spacing w:line="276" w:lineRule="auto"/>
              <w:ind w:right="130"/>
              <w:rPr>
                <w:rFonts w:eastAsia="MS PGothic"/>
                <w:iCs/>
                <w:color w:val="000000" w:themeColor="text1"/>
                <w:sz w:val="20"/>
                <w:szCs w:val="20"/>
              </w:rPr>
            </w:pPr>
            <w:r w:rsidRPr="00BE3736">
              <w:rPr>
                <w:rFonts w:eastAsia="MS PGothic"/>
                <w:color w:val="000000" w:themeColor="text1"/>
                <w:sz w:val="20"/>
              </w:rPr>
              <w:t>利益率</w:t>
            </w:r>
          </w:p>
          <w:p w14:paraId="041FD52D" w14:textId="77777777" w:rsidR="007871F5" w:rsidRPr="00BE3736" w:rsidRDefault="007871F5" w:rsidP="00BE3736">
            <w:pPr>
              <w:pStyle w:val="ListParagraph"/>
              <w:numPr>
                <w:ilvl w:val="0"/>
                <w:numId w:val="6"/>
              </w:numPr>
              <w:autoSpaceDE w:val="0"/>
              <w:autoSpaceDN w:val="0"/>
              <w:spacing w:line="276" w:lineRule="auto"/>
              <w:ind w:right="130"/>
              <w:rPr>
                <w:rFonts w:eastAsia="MS PGothic"/>
                <w:iCs/>
                <w:color w:val="000000" w:themeColor="text1"/>
                <w:sz w:val="20"/>
                <w:szCs w:val="20"/>
              </w:rPr>
            </w:pPr>
            <w:r w:rsidRPr="00BE3736">
              <w:rPr>
                <w:rFonts w:eastAsia="MS PGothic"/>
                <w:color w:val="000000" w:themeColor="text1"/>
                <w:sz w:val="20"/>
              </w:rPr>
              <w:t>運転資本</w:t>
            </w:r>
          </w:p>
        </w:tc>
      </w:tr>
    </w:tbl>
    <w:p w14:paraId="7BFCBD6D" w14:textId="77777777" w:rsidR="001B18BA" w:rsidRPr="00BE3736" w:rsidRDefault="001B18BA" w:rsidP="00BE3736">
      <w:pPr>
        <w:autoSpaceDE w:val="0"/>
        <w:autoSpaceDN w:val="0"/>
        <w:ind w:left="360"/>
        <w:rPr>
          <w:rFonts w:eastAsia="MS PGothic"/>
        </w:rPr>
      </w:pPr>
    </w:p>
    <w:p w14:paraId="29FBEE2B" w14:textId="77777777" w:rsidR="00F8234D" w:rsidRPr="00BE3736" w:rsidRDefault="00F8234D" w:rsidP="00BE3736">
      <w:pPr>
        <w:pStyle w:val="Heading1"/>
        <w:numPr>
          <w:ilvl w:val="0"/>
          <w:numId w:val="1"/>
        </w:numPr>
        <w:autoSpaceDE w:val="0"/>
        <w:autoSpaceDN w:val="0"/>
        <w:ind w:left="360"/>
        <w:rPr>
          <w:rFonts w:eastAsia="MS PGothic"/>
        </w:rPr>
      </w:pPr>
      <w:r w:rsidRPr="00BE3736">
        <w:rPr>
          <w:rFonts w:eastAsia="MS PGothic"/>
        </w:rPr>
        <w:lastRenderedPageBreak/>
        <w:t>損益分岐点分析</w:t>
      </w:r>
    </w:p>
    <w:tbl>
      <w:tblPr>
        <w:tblStyle w:val="TableGrid"/>
        <w:tblW w:w="0" w:type="auto"/>
        <w:tblInd w:w="-10" w:type="dxa"/>
        <w:tblLook w:val="04A0" w:firstRow="1" w:lastRow="0" w:firstColumn="1" w:lastColumn="0" w:noHBand="0" w:noVBand="1"/>
      </w:tblPr>
      <w:tblGrid>
        <w:gridCol w:w="10426"/>
      </w:tblGrid>
      <w:tr w:rsidR="00F8234D" w:rsidRPr="00BE3736" w14:paraId="06855B5A" w14:textId="77777777" w:rsidTr="00543BFF">
        <w:trPr>
          <w:trHeight w:val="11952"/>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288" w:type="dxa"/>
              <w:left w:w="288" w:type="dxa"/>
              <w:bottom w:w="288" w:type="dxa"/>
              <w:right w:w="288" w:type="dxa"/>
            </w:tcMar>
          </w:tcPr>
          <w:p w14:paraId="40ECACEE" w14:textId="77777777" w:rsidR="00F8234D" w:rsidRPr="00BE3736" w:rsidRDefault="00F8234D" w:rsidP="00BE3736">
            <w:pPr>
              <w:autoSpaceDE w:val="0"/>
              <w:autoSpaceDN w:val="0"/>
              <w:spacing w:line="276" w:lineRule="auto"/>
              <w:ind w:right="130"/>
              <w:rPr>
                <w:rFonts w:eastAsia="MS PGothic"/>
                <w:iCs/>
                <w:color w:val="000000" w:themeColor="text1"/>
                <w:sz w:val="20"/>
                <w:szCs w:val="20"/>
              </w:rPr>
            </w:pPr>
            <w:r w:rsidRPr="00BE3736">
              <w:rPr>
                <w:rFonts w:eastAsia="MS PGothic"/>
                <w:color w:val="000000" w:themeColor="text1"/>
                <w:sz w:val="20"/>
              </w:rPr>
              <w:t>このセクションを使用して、コストをカバーし、利益を上げるためにビジネスが販売する必要があるユニット数に関する情報を提供する表やチャートを含めます。</w:t>
            </w:r>
          </w:p>
          <w:p w14:paraId="52B300F9" w14:textId="77777777" w:rsidR="00C61CBF" w:rsidRPr="00BE3736" w:rsidRDefault="00C61CBF" w:rsidP="00BE3736">
            <w:pPr>
              <w:autoSpaceDE w:val="0"/>
              <w:autoSpaceDN w:val="0"/>
              <w:spacing w:line="276" w:lineRule="auto"/>
              <w:ind w:right="130"/>
              <w:rPr>
                <w:rFonts w:eastAsia="MS PGothic"/>
                <w:iCs/>
                <w:color w:val="000000" w:themeColor="text1"/>
                <w:sz w:val="20"/>
                <w:szCs w:val="20"/>
              </w:rPr>
            </w:pPr>
          </w:p>
          <w:p w14:paraId="38393A7B" w14:textId="77777777" w:rsidR="00C61CBF" w:rsidRPr="00BE3736" w:rsidRDefault="00C61CBF" w:rsidP="00BE3736">
            <w:pPr>
              <w:autoSpaceDE w:val="0"/>
              <w:autoSpaceDN w:val="0"/>
              <w:spacing w:line="276" w:lineRule="auto"/>
              <w:ind w:right="130"/>
              <w:rPr>
                <w:rFonts w:eastAsia="MS PGothic"/>
                <w:iCs/>
                <w:color w:val="000000" w:themeColor="text1"/>
                <w:sz w:val="20"/>
                <w:szCs w:val="20"/>
              </w:rPr>
            </w:pPr>
            <w:r w:rsidRPr="00BE3736">
              <w:rPr>
                <w:rFonts w:eastAsia="MS PGothic"/>
                <w:iCs/>
                <w:noProof/>
                <w:color w:val="000000" w:themeColor="text1"/>
                <w:sz w:val="20"/>
                <w:szCs w:val="20"/>
                <w:lang w:eastAsia="zh-CN" w:bidi="th-TH"/>
              </w:rPr>
              <w:drawing>
                <wp:inline distT="0" distB="0" distL="0" distR="0" wp14:anchorId="7C3F7B16" wp14:editId="6325D3A0">
                  <wp:extent cx="6163555" cy="4634664"/>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C-Break-Even-Analysis-Templat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63555" cy="4634664"/>
                          </a:xfrm>
                          <a:prstGeom prst="rect">
                            <a:avLst/>
                          </a:prstGeom>
                        </pic:spPr>
                      </pic:pic>
                    </a:graphicData>
                  </a:graphic>
                </wp:inline>
              </w:drawing>
            </w:r>
          </w:p>
        </w:tc>
      </w:tr>
    </w:tbl>
    <w:p w14:paraId="450E36EE" w14:textId="77777777" w:rsidR="00F8234D" w:rsidRPr="00BE3736" w:rsidRDefault="00F8234D" w:rsidP="00BE3736">
      <w:pPr>
        <w:autoSpaceDE w:val="0"/>
        <w:autoSpaceDN w:val="0"/>
        <w:ind w:left="360"/>
        <w:rPr>
          <w:rFonts w:eastAsia="MS PGothic"/>
        </w:rPr>
      </w:pPr>
    </w:p>
    <w:p w14:paraId="4D5E1AE2" w14:textId="77777777" w:rsidR="00F8234D" w:rsidRPr="00BE3736" w:rsidRDefault="00F8234D" w:rsidP="00BE3736">
      <w:pPr>
        <w:autoSpaceDE w:val="0"/>
        <w:autoSpaceDN w:val="0"/>
        <w:ind w:left="360"/>
        <w:rPr>
          <w:rFonts w:eastAsia="MS PGothic"/>
        </w:rPr>
      </w:pPr>
    </w:p>
    <w:p w14:paraId="2E3A2273" w14:textId="77777777" w:rsidR="005F3691" w:rsidRPr="00BE3736" w:rsidRDefault="00F8234D" w:rsidP="00BE3736">
      <w:pPr>
        <w:pStyle w:val="Heading1"/>
        <w:numPr>
          <w:ilvl w:val="0"/>
          <w:numId w:val="1"/>
        </w:numPr>
        <w:autoSpaceDE w:val="0"/>
        <w:autoSpaceDN w:val="0"/>
        <w:ind w:left="360"/>
        <w:rPr>
          <w:rFonts w:eastAsia="MS PGothic"/>
          <w:szCs w:val="28"/>
        </w:rPr>
      </w:pPr>
      <w:r w:rsidRPr="00BE3736">
        <w:rPr>
          <w:rFonts w:eastAsia="MS PGothic"/>
        </w:rPr>
        <w:lastRenderedPageBreak/>
        <w:t>財務諸表</w:t>
      </w:r>
    </w:p>
    <w:p w14:paraId="07486129" w14:textId="77777777" w:rsidR="00AD6304" w:rsidRPr="00BE3736" w:rsidRDefault="00FE15B7" w:rsidP="00BE3736">
      <w:pPr>
        <w:pStyle w:val="Heading2"/>
        <w:numPr>
          <w:ilvl w:val="1"/>
          <w:numId w:val="1"/>
        </w:numPr>
        <w:autoSpaceDE w:val="0"/>
        <w:autoSpaceDN w:val="0"/>
        <w:ind w:left="900" w:hanging="540"/>
        <w:rPr>
          <w:rFonts w:eastAsia="MS PGothic"/>
        </w:rPr>
      </w:pPr>
      <w:r w:rsidRPr="00BE3736">
        <w:rPr>
          <w:rFonts w:eastAsia="MS PGothic"/>
        </w:rPr>
        <w:t>プロ</w:t>
      </w:r>
      <w:r w:rsidRPr="00BE3736">
        <w:rPr>
          <w:rFonts w:eastAsia="MS PGothic"/>
        </w:rPr>
        <w:t xml:space="preserve"> </w:t>
      </w:r>
      <w:r w:rsidRPr="00BE3736">
        <w:rPr>
          <w:rFonts w:eastAsia="MS PGothic"/>
        </w:rPr>
        <w:t>フォーマ損益計算書</w:t>
      </w:r>
      <w:r w:rsidRPr="00BE3736">
        <w:rPr>
          <w:rFonts w:eastAsia="MS PGothic"/>
        </w:rPr>
        <w:t xml:space="preserve"> </w:t>
      </w:r>
    </w:p>
    <w:tbl>
      <w:tblPr>
        <w:tblStyle w:val="TableGrid"/>
        <w:tblW w:w="0" w:type="auto"/>
        <w:tblInd w:w="350" w:type="dxa"/>
        <w:tblLook w:val="04A0" w:firstRow="1" w:lastRow="0" w:firstColumn="1" w:lastColumn="0" w:noHBand="0" w:noVBand="1"/>
      </w:tblPr>
      <w:tblGrid>
        <w:gridCol w:w="9990"/>
      </w:tblGrid>
      <w:tr w:rsidR="00A92BEF" w:rsidRPr="00BE3736" w14:paraId="4ADDA279" w14:textId="77777777" w:rsidTr="00A92BEF">
        <w:trPr>
          <w:trHeight w:val="11520"/>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288" w:type="dxa"/>
              <w:left w:w="288" w:type="dxa"/>
              <w:bottom w:w="288" w:type="dxa"/>
              <w:right w:w="288" w:type="dxa"/>
            </w:tcMar>
          </w:tcPr>
          <w:p w14:paraId="7EC40B07" w14:textId="77777777" w:rsidR="00A92BEF" w:rsidRPr="00BE3736" w:rsidRDefault="00FE15B7" w:rsidP="00BE3736">
            <w:pPr>
              <w:autoSpaceDE w:val="0"/>
              <w:autoSpaceDN w:val="0"/>
              <w:spacing w:line="276" w:lineRule="auto"/>
              <w:rPr>
                <w:rFonts w:eastAsia="MS PGothic"/>
                <w:sz w:val="20"/>
                <w:szCs w:val="21"/>
              </w:rPr>
            </w:pPr>
            <w:r w:rsidRPr="00BE3736">
              <w:rPr>
                <w:rFonts w:eastAsia="MS PGothic"/>
                <w:sz w:val="20"/>
              </w:rPr>
              <w:t>このセクションを使用して、売上、売上コスト、収益性、その他の重要な財務情報を関係者に詳細に記述する、予測損益計算書とも呼ばれるプロフォーマ損益計算書を提供します。</w:t>
            </w:r>
          </w:p>
          <w:p w14:paraId="41E80108" w14:textId="77777777" w:rsidR="00A92BEF" w:rsidRPr="00BE3736" w:rsidRDefault="00A92BEF" w:rsidP="00BE3736">
            <w:pPr>
              <w:autoSpaceDE w:val="0"/>
              <w:autoSpaceDN w:val="0"/>
              <w:spacing w:line="276" w:lineRule="auto"/>
              <w:rPr>
                <w:rFonts w:eastAsia="MS PGothic"/>
                <w:sz w:val="20"/>
                <w:szCs w:val="21"/>
              </w:rPr>
            </w:pPr>
          </w:p>
          <w:p w14:paraId="7C7C628C" w14:textId="77777777" w:rsidR="00A92BEF" w:rsidRPr="00BE3736" w:rsidRDefault="00C61CBF" w:rsidP="00BE3736">
            <w:pPr>
              <w:autoSpaceDE w:val="0"/>
              <w:autoSpaceDN w:val="0"/>
              <w:spacing w:line="276" w:lineRule="auto"/>
              <w:rPr>
                <w:rFonts w:eastAsia="MS PGothic"/>
                <w:sz w:val="20"/>
                <w:szCs w:val="21"/>
              </w:rPr>
            </w:pPr>
            <w:r w:rsidRPr="00BE3736">
              <w:rPr>
                <w:rFonts w:eastAsia="MS PGothic"/>
                <w:noProof/>
                <w:sz w:val="20"/>
                <w:szCs w:val="21"/>
                <w:lang w:eastAsia="zh-CN" w:bidi="th-TH"/>
              </w:rPr>
              <w:drawing>
                <wp:inline distT="0" distB="0" distL="0" distR="0" wp14:anchorId="08598818" wp14:editId="09FA51EE">
                  <wp:extent cx="5911850" cy="4190423"/>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C-Profit-and-Loss-Basic-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21359" cy="4197163"/>
                          </a:xfrm>
                          <a:prstGeom prst="rect">
                            <a:avLst/>
                          </a:prstGeom>
                        </pic:spPr>
                      </pic:pic>
                    </a:graphicData>
                  </a:graphic>
                </wp:inline>
              </w:drawing>
            </w:r>
          </w:p>
        </w:tc>
      </w:tr>
    </w:tbl>
    <w:p w14:paraId="33AEE156" w14:textId="77777777" w:rsidR="00A92BEF" w:rsidRPr="00BE3736" w:rsidRDefault="00A92BEF" w:rsidP="00BE3736">
      <w:pPr>
        <w:autoSpaceDE w:val="0"/>
        <w:autoSpaceDN w:val="0"/>
        <w:ind w:left="360"/>
        <w:rPr>
          <w:rFonts w:eastAsia="MS PGothic"/>
        </w:rPr>
      </w:pPr>
    </w:p>
    <w:p w14:paraId="570770DD" w14:textId="77777777" w:rsidR="00A92BEF" w:rsidRPr="00BE3736" w:rsidRDefault="00A92BEF" w:rsidP="00BE3736">
      <w:pPr>
        <w:autoSpaceDE w:val="0"/>
        <w:autoSpaceDN w:val="0"/>
        <w:rPr>
          <w:rFonts w:eastAsia="MS PGothic"/>
        </w:rPr>
        <w:sectPr w:rsidR="00A92BEF" w:rsidRPr="00BE3736" w:rsidSect="007871F5">
          <w:footerReference w:type="default" r:id="rId12"/>
          <w:footerReference w:type="first" r:id="rId13"/>
          <w:pgSz w:w="12240" w:h="15840"/>
          <w:pgMar w:top="706" w:right="720" w:bottom="360" w:left="1008" w:header="490" w:footer="720" w:gutter="0"/>
          <w:cols w:space="720"/>
          <w:titlePg/>
          <w:docGrid w:linePitch="360"/>
        </w:sectPr>
      </w:pPr>
    </w:p>
    <w:p w14:paraId="5381B935" w14:textId="77777777" w:rsidR="00ED330A" w:rsidRPr="00BE3736" w:rsidRDefault="009D1694" w:rsidP="00BE3736">
      <w:pPr>
        <w:pStyle w:val="Heading2"/>
        <w:numPr>
          <w:ilvl w:val="1"/>
          <w:numId w:val="1"/>
        </w:numPr>
        <w:autoSpaceDE w:val="0"/>
        <w:autoSpaceDN w:val="0"/>
        <w:ind w:left="900" w:hanging="540"/>
        <w:rPr>
          <w:rFonts w:eastAsia="MS PGothic"/>
        </w:rPr>
      </w:pPr>
      <w:r w:rsidRPr="00BE3736">
        <w:rPr>
          <w:rFonts w:eastAsia="MS PGothic"/>
        </w:rPr>
        <w:lastRenderedPageBreak/>
        <w:t>プロフォーマ</w:t>
      </w:r>
      <w:r w:rsidRPr="00BE3736">
        <w:rPr>
          <w:rFonts w:eastAsia="MS PGothic"/>
        </w:rPr>
        <w:t xml:space="preserve"> </w:t>
      </w:r>
      <w:r w:rsidRPr="00BE3736">
        <w:rPr>
          <w:rFonts w:eastAsia="MS PGothic"/>
        </w:rPr>
        <w:t>キャッシュ</w:t>
      </w:r>
      <w:r w:rsidRPr="00BE3736">
        <w:rPr>
          <w:rFonts w:eastAsia="MS PGothic"/>
        </w:rPr>
        <w:t xml:space="preserve"> </w:t>
      </w:r>
      <w:r w:rsidRPr="00BE3736">
        <w:rPr>
          <w:rFonts w:eastAsia="MS PGothic"/>
        </w:rPr>
        <w:t>フロー計算書</w:t>
      </w:r>
    </w:p>
    <w:tbl>
      <w:tblPr>
        <w:tblStyle w:val="TableGrid"/>
        <w:tblW w:w="0" w:type="auto"/>
        <w:tblInd w:w="350" w:type="dxa"/>
        <w:tblLook w:val="04A0" w:firstRow="1" w:lastRow="0" w:firstColumn="1" w:lastColumn="0" w:noHBand="0" w:noVBand="1"/>
      </w:tblPr>
      <w:tblGrid>
        <w:gridCol w:w="9990"/>
      </w:tblGrid>
      <w:tr w:rsidR="00ED330A" w:rsidRPr="00BE3736" w14:paraId="731340F3" w14:textId="77777777" w:rsidTr="00A30894">
        <w:trPr>
          <w:trHeight w:val="1195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288" w:type="dxa"/>
              <w:left w:w="288" w:type="dxa"/>
              <w:bottom w:w="288" w:type="dxa"/>
              <w:right w:w="288" w:type="dxa"/>
            </w:tcMar>
          </w:tcPr>
          <w:p w14:paraId="32AB07D0" w14:textId="3A386549" w:rsidR="00ED330A" w:rsidRPr="00BE3736" w:rsidRDefault="009D1694" w:rsidP="00BE3736">
            <w:pPr>
              <w:autoSpaceDE w:val="0"/>
              <w:autoSpaceDN w:val="0"/>
              <w:spacing w:line="276" w:lineRule="auto"/>
              <w:rPr>
                <w:rFonts w:eastAsia="MS PGothic"/>
                <w:sz w:val="20"/>
                <w:szCs w:val="21"/>
              </w:rPr>
            </w:pPr>
            <w:r w:rsidRPr="00BE3736">
              <w:rPr>
                <w:rFonts w:eastAsia="MS PGothic"/>
                <w:sz w:val="20"/>
              </w:rPr>
              <w:t>このセクションを使用して、特定の期間内の運用、資金調達、投資活動からビジネスが生み出す予測される現金流入と流出に関する詳細を提供するキャッシュフロー計算書を提供します</w:t>
            </w:r>
            <w:r w:rsidR="00C476DB">
              <w:rPr>
                <w:rFonts w:eastAsia="MS PGothic"/>
                <w:sz w:val="20"/>
              </w:rPr>
              <w:t>。</w:t>
            </w:r>
          </w:p>
          <w:p w14:paraId="66577D11" w14:textId="77777777" w:rsidR="00C61CBF" w:rsidRPr="00BE3736" w:rsidRDefault="00C61CBF" w:rsidP="00BE3736">
            <w:pPr>
              <w:autoSpaceDE w:val="0"/>
              <w:autoSpaceDN w:val="0"/>
              <w:spacing w:line="276" w:lineRule="auto"/>
              <w:rPr>
                <w:rFonts w:eastAsia="MS PGothic"/>
                <w:sz w:val="20"/>
                <w:szCs w:val="21"/>
              </w:rPr>
            </w:pPr>
          </w:p>
          <w:p w14:paraId="4565F275" w14:textId="77777777" w:rsidR="00ED330A" w:rsidRPr="00BE3736" w:rsidRDefault="00C61CBF" w:rsidP="00BE3736">
            <w:pPr>
              <w:autoSpaceDE w:val="0"/>
              <w:autoSpaceDN w:val="0"/>
              <w:rPr>
                <w:rFonts w:eastAsia="MS PGothic"/>
              </w:rPr>
            </w:pPr>
            <w:r w:rsidRPr="00BE3736">
              <w:rPr>
                <w:rFonts w:eastAsia="MS PGothic"/>
                <w:noProof/>
                <w:lang w:eastAsia="zh-CN" w:bidi="th-TH"/>
              </w:rPr>
              <w:drawing>
                <wp:inline distT="0" distB="0" distL="0" distR="0" wp14:anchorId="7C7442E4" wp14:editId="78CDCB39">
                  <wp:extent cx="5831013" cy="4572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fs.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836015" cy="4575922"/>
                          </a:xfrm>
                          <a:prstGeom prst="rect">
                            <a:avLst/>
                          </a:prstGeom>
                        </pic:spPr>
                      </pic:pic>
                    </a:graphicData>
                  </a:graphic>
                </wp:inline>
              </w:drawing>
            </w:r>
          </w:p>
        </w:tc>
      </w:tr>
    </w:tbl>
    <w:p w14:paraId="44AFB14C" w14:textId="77777777" w:rsidR="00ED330A" w:rsidRPr="00BE3736" w:rsidRDefault="00ED330A" w:rsidP="00BE3736">
      <w:pPr>
        <w:autoSpaceDE w:val="0"/>
        <w:autoSpaceDN w:val="0"/>
        <w:ind w:left="360"/>
        <w:rPr>
          <w:rFonts w:eastAsia="MS PGothic"/>
        </w:rPr>
      </w:pPr>
    </w:p>
    <w:p w14:paraId="23319697" w14:textId="77777777" w:rsidR="00ED330A" w:rsidRPr="00BE3736" w:rsidRDefault="00ED330A" w:rsidP="00BE3736">
      <w:pPr>
        <w:autoSpaceDE w:val="0"/>
        <w:autoSpaceDN w:val="0"/>
        <w:spacing w:after="0"/>
        <w:rPr>
          <w:rFonts w:eastAsia="MS PGothic"/>
        </w:rPr>
      </w:pPr>
    </w:p>
    <w:p w14:paraId="406ADA80" w14:textId="77777777" w:rsidR="0099785D" w:rsidRPr="00BE3736" w:rsidRDefault="00A30894" w:rsidP="00BE3736">
      <w:pPr>
        <w:pStyle w:val="Heading3"/>
        <w:numPr>
          <w:ilvl w:val="1"/>
          <w:numId w:val="1"/>
        </w:numPr>
        <w:autoSpaceDE w:val="0"/>
        <w:autoSpaceDN w:val="0"/>
        <w:ind w:left="1080"/>
        <w:rPr>
          <w:rFonts w:eastAsia="MS PGothic"/>
          <w:sz w:val="24"/>
          <w:szCs w:val="28"/>
        </w:rPr>
      </w:pPr>
      <w:r w:rsidRPr="00BE3736">
        <w:rPr>
          <w:rFonts w:eastAsia="MS PGothic"/>
          <w:sz w:val="24"/>
        </w:rPr>
        <w:lastRenderedPageBreak/>
        <w:t>プロ</w:t>
      </w:r>
      <w:r w:rsidRPr="00BE3736">
        <w:rPr>
          <w:rFonts w:eastAsia="MS PGothic"/>
          <w:sz w:val="24"/>
        </w:rPr>
        <w:t xml:space="preserve"> </w:t>
      </w:r>
      <w:r w:rsidRPr="00BE3736">
        <w:rPr>
          <w:rFonts w:eastAsia="MS PGothic"/>
          <w:sz w:val="24"/>
        </w:rPr>
        <w:t>フォーマ貸借対照表</w:t>
      </w:r>
    </w:p>
    <w:tbl>
      <w:tblPr>
        <w:tblStyle w:val="TableGrid"/>
        <w:tblW w:w="0" w:type="auto"/>
        <w:tblInd w:w="350" w:type="dxa"/>
        <w:tblLook w:val="04A0" w:firstRow="1" w:lastRow="0" w:firstColumn="1" w:lastColumn="0" w:noHBand="0" w:noVBand="1"/>
      </w:tblPr>
      <w:tblGrid>
        <w:gridCol w:w="9990"/>
      </w:tblGrid>
      <w:tr w:rsidR="00ED330A" w:rsidRPr="00BE3736" w14:paraId="71C5EC4F" w14:textId="77777777" w:rsidTr="00214FE7">
        <w:trPr>
          <w:trHeight w:val="11520"/>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288" w:type="dxa"/>
              <w:left w:w="288" w:type="dxa"/>
              <w:bottom w:w="288" w:type="dxa"/>
              <w:right w:w="288" w:type="dxa"/>
            </w:tcMar>
          </w:tcPr>
          <w:p w14:paraId="5E4D2A74" w14:textId="77777777" w:rsidR="00ED330A" w:rsidRPr="00BE3736" w:rsidRDefault="00A30894" w:rsidP="00BE3736">
            <w:pPr>
              <w:autoSpaceDE w:val="0"/>
              <w:autoSpaceDN w:val="0"/>
              <w:spacing w:line="276" w:lineRule="auto"/>
              <w:rPr>
                <w:rFonts w:eastAsia="MS PGothic"/>
                <w:sz w:val="20"/>
                <w:szCs w:val="21"/>
              </w:rPr>
            </w:pPr>
            <w:r w:rsidRPr="00BE3736">
              <w:rPr>
                <w:rFonts w:eastAsia="MS PGothic"/>
                <w:sz w:val="20"/>
              </w:rPr>
              <w:t>このセクションを使用して、売掛金や在庫など、ビジネス計画の資産管理方法の詳細を示す予測貸借対照表計算書を追加します。</w:t>
            </w:r>
          </w:p>
          <w:p w14:paraId="516288B2" w14:textId="77777777" w:rsidR="00025EEE" w:rsidRPr="00BE3736" w:rsidRDefault="00025EEE" w:rsidP="00BE3736">
            <w:pPr>
              <w:autoSpaceDE w:val="0"/>
              <w:autoSpaceDN w:val="0"/>
              <w:spacing w:line="276" w:lineRule="auto"/>
              <w:rPr>
                <w:rFonts w:eastAsia="MS PGothic"/>
                <w:sz w:val="20"/>
                <w:szCs w:val="21"/>
              </w:rPr>
            </w:pPr>
          </w:p>
          <w:p w14:paraId="4C22E55D" w14:textId="77777777" w:rsidR="00025EEE" w:rsidRPr="00BE3736" w:rsidRDefault="00C61CBF" w:rsidP="00BE3736">
            <w:pPr>
              <w:autoSpaceDE w:val="0"/>
              <w:autoSpaceDN w:val="0"/>
              <w:spacing w:line="276" w:lineRule="auto"/>
              <w:rPr>
                <w:rFonts w:eastAsia="MS PGothic"/>
                <w:sz w:val="20"/>
                <w:szCs w:val="21"/>
              </w:rPr>
            </w:pPr>
            <w:r w:rsidRPr="00BE3736">
              <w:rPr>
                <w:rFonts w:eastAsia="MS PGothic"/>
                <w:noProof/>
                <w:sz w:val="20"/>
                <w:szCs w:val="21"/>
                <w:lang w:eastAsia="zh-CN" w:bidi="th-TH"/>
              </w:rPr>
              <w:drawing>
                <wp:inline distT="0" distB="0" distL="0" distR="0" wp14:anchorId="451BBB16" wp14:editId="7D460279">
                  <wp:extent cx="4322309" cy="7283450"/>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C-Balance-Sheet-Template.png"/>
                          <pic:cNvPicPr/>
                        </pic:nvPicPr>
                        <pic:blipFill>
                          <a:blip r:embed="rId15">
                            <a:extLst>
                              <a:ext uri="{28A0092B-C50C-407E-A947-70E740481C1C}">
                                <a14:useLocalDpi xmlns:a14="http://schemas.microsoft.com/office/drawing/2010/main" val="0"/>
                              </a:ext>
                            </a:extLst>
                          </a:blip>
                          <a:stretch>
                            <a:fillRect/>
                          </a:stretch>
                        </pic:blipFill>
                        <pic:spPr>
                          <a:xfrm>
                            <a:off x="0" y="0"/>
                            <a:ext cx="4336357" cy="7307121"/>
                          </a:xfrm>
                          <a:prstGeom prst="rect">
                            <a:avLst/>
                          </a:prstGeom>
                        </pic:spPr>
                      </pic:pic>
                    </a:graphicData>
                  </a:graphic>
                </wp:inline>
              </w:drawing>
            </w:r>
          </w:p>
        </w:tc>
      </w:tr>
    </w:tbl>
    <w:p w14:paraId="5107967F" w14:textId="77777777" w:rsidR="00ED330A" w:rsidRPr="00BE3736" w:rsidRDefault="00ED330A" w:rsidP="00BE3736">
      <w:pPr>
        <w:autoSpaceDE w:val="0"/>
        <w:autoSpaceDN w:val="0"/>
        <w:spacing w:after="0"/>
        <w:rPr>
          <w:rFonts w:eastAsia="MS PGothic"/>
        </w:rPr>
      </w:pPr>
    </w:p>
    <w:p w14:paraId="2B257375" w14:textId="77777777" w:rsidR="00ED330A" w:rsidRPr="00BE3736" w:rsidRDefault="00ED330A" w:rsidP="00BE3736">
      <w:pPr>
        <w:autoSpaceDE w:val="0"/>
        <w:autoSpaceDN w:val="0"/>
        <w:rPr>
          <w:rFonts w:eastAsia="MS PGothic"/>
        </w:rPr>
      </w:pPr>
    </w:p>
    <w:p w14:paraId="56CB29DE" w14:textId="77777777" w:rsidR="0029626D" w:rsidRPr="00BE3736" w:rsidRDefault="0029626D" w:rsidP="00BE3736">
      <w:pPr>
        <w:autoSpaceDE w:val="0"/>
        <w:autoSpaceDN w:val="0"/>
        <w:spacing w:after="0"/>
        <w:ind w:left="360"/>
        <w:rPr>
          <w:rFonts w:eastAsia="MS PGothic"/>
        </w:rPr>
        <w:sectPr w:rsidR="0029626D" w:rsidRPr="00BE3736" w:rsidSect="00C61CBF">
          <w:pgSz w:w="12240" w:h="15840"/>
          <w:pgMar w:top="670" w:right="720" w:bottom="360" w:left="1008" w:header="490" w:footer="720" w:gutter="0"/>
          <w:cols w:space="720"/>
          <w:titlePg/>
          <w:docGrid w:linePitch="360"/>
        </w:sectPr>
      </w:pPr>
    </w:p>
    <w:p w14:paraId="4B1205BC" w14:textId="77777777" w:rsidR="004F536F" w:rsidRPr="00BE3736" w:rsidRDefault="004F536F" w:rsidP="00BE3736">
      <w:pPr>
        <w:autoSpaceDE w:val="0"/>
        <w:autoSpaceDN w:val="0"/>
        <w:spacing w:after="0"/>
        <w:rPr>
          <w:rFonts w:eastAsia="MS PGothic"/>
        </w:rPr>
      </w:pPr>
    </w:p>
    <w:p w14:paraId="0D72E035" w14:textId="77777777" w:rsidR="006A0235" w:rsidRPr="00BE3736" w:rsidRDefault="006A0235" w:rsidP="00BE3736">
      <w:pPr>
        <w:autoSpaceDE w:val="0"/>
        <w:autoSpaceDN w:val="0"/>
        <w:rPr>
          <w:rFonts w:eastAsia="MS PGothic"/>
        </w:rPr>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BE3736" w14:paraId="7BCD53F4" w14:textId="77777777" w:rsidTr="006A0235">
        <w:trPr>
          <w:trHeight w:val="3002"/>
        </w:trPr>
        <w:tc>
          <w:tcPr>
            <w:tcW w:w="9662" w:type="dxa"/>
          </w:tcPr>
          <w:p w14:paraId="0B0FFBBE" w14:textId="77777777" w:rsidR="00A64F9A" w:rsidRPr="00BE3736" w:rsidRDefault="00A64F9A" w:rsidP="00BE3736">
            <w:pPr>
              <w:autoSpaceDE w:val="0"/>
              <w:autoSpaceDN w:val="0"/>
              <w:jc w:val="center"/>
              <w:rPr>
                <w:rFonts w:eastAsia="MS PGothic"/>
                <w:b/>
                <w:sz w:val="20"/>
              </w:rPr>
            </w:pPr>
          </w:p>
          <w:p w14:paraId="7F395B1F" w14:textId="77777777" w:rsidR="00A64F9A" w:rsidRPr="00BE3736" w:rsidRDefault="00A64F9A" w:rsidP="00BE3736">
            <w:pPr>
              <w:autoSpaceDE w:val="0"/>
              <w:autoSpaceDN w:val="0"/>
              <w:jc w:val="center"/>
              <w:rPr>
                <w:rFonts w:eastAsia="MS PGothic"/>
                <w:b/>
                <w:sz w:val="20"/>
              </w:rPr>
            </w:pPr>
            <w:r w:rsidRPr="00BE3736">
              <w:rPr>
                <w:rFonts w:eastAsia="MS PGothic"/>
                <w:b/>
                <w:sz w:val="20"/>
              </w:rPr>
              <w:t xml:space="preserve">– </w:t>
            </w:r>
            <w:r w:rsidRPr="00BE3736">
              <w:rPr>
                <w:rFonts w:eastAsia="MS PGothic"/>
                <w:b/>
                <w:sz w:val="20"/>
              </w:rPr>
              <w:t>免責条項</w:t>
            </w:r>
            <w:r w:rsidRPr="00BE3736">
              <w:rPr>
                <w:rFonts w:eastAsia="MS PGothic"/>
                <w:b/>
                <w:sz w:val="20"/>
              </w:rPr>
              <w:t xml:space="preserve"> –</w:t>
            </w:r>
          </w:p>
          <w:p w14:paraId="5669AFD1" w14:textId="77777777" w:rsidR="00A64F9A" w:rsidRPr="00BE3736" w:rsidRDefault="00A64F9A" w:rsidP="00BE3736">
            <w:pPr>
              <w:autoSpaceDE w:val="0"/>
              <w:autoSpaceDN w:val="0"/>
              <w:rPr>
                <w:rFonts w:eastAsia="MS PGothic"/>
                <w:sz w:val="20"/>
              </w:rPr>
            </w:pPr>
          </w:p>
          <w:p w14:paraId="2F8AD2FF" w14:textId="77777777" w:rsidR="00A64F9A" w:rsidRPr="00BE3736" w:rsidRDefault="00A64F9A" w:rsidP="00BE3736">
            <w:pPr>
              <w:autoSpaceDE w:val="0"/>
              <w:autoSpaceDN w:val="0"/>
              <w:spacing w:line="276" w:lineRule="auto"/>
              <w:rPr>
                <w:rFonts w:eastAsia="MS PGothic"/>
                <w:sz w:val="20"/>
              </w:rPr>
            </w:pPr>
            <w:r w:rsidRPr="00BE3736">
              <w:rPr>
                <w:rFonts w:eastAsia="MS PGothic"/>
                <w:sz w:val="20"/>
              </w:rPr>
              <w:t xml:space="preserve">Smartsheet </w:t>
            </w:r>
            <w:r w:rsidRPr="00BE3736">
              <w:rPr>
                <w:rFonts w:eastAsia="MS PGothic"/>
                <w:sz w:val="20"/>
              </w:rPr>
              <w:t>がこの</w:t>
            </w:r>
            <w:r w:rsidRPr="00BE3736">
              <w:rPr>
                <w:rFonts w:eastAsia="MS PGothic"/>
                <w:sz w:val="20"/>
              </w:rPr>
              <w:t xml:space="preserve"> Web </w:t>
            </w:r>
            <w:r w:rsidRPr="00BE3736">
              <w:rPr>
                <w:rFonts w:eastAsia="MS PGothic"/>
                <w:sz w:val="20"/>
              </w:rPr>
              <w:t>サイトに掲載している記事、テンプレート、または情報などは、あくまで参考としてご利用ください。</w:t>
            </w:r>
            <w:r w:rsidRPr="00BE3736">
              <w:rPr>
                <w:rFonts w:eastAsia="MS PGothic"/>
                <w:sz w:val="20"/>
              </w:rPr>
              <w:t xml:space="preserve">Smartsheet </w:t>
            </w:r>
            <w:r w:rsidRPr="00BE3736">
              <w:rPr>
                <w:rFonts w:eastAsia="MS PGothic"/>
                <w:sz w:val="20"/>
              </w:rPr>
              <w:t>は、情報の最新性および正確性の確保に努めますが、本</w:t>
            </w:r>
            <w:r w:rsidRPr="00BE3736">
              <w:rPr>
                <w:rFonts w:eastAsia="MS PGothic"/>
                <w:sz w:val="20"/>
              </w:rPr>
              <w:t xml:space="preserve"> Web </w:t>
            </w:r>
            <w:r w:rsidRPr="00BE3736">
              <w:rPr>
                <w:rFonts w:eastAsia="MS PGothic"/>
                <w:sz w:val="20"/>
              </w:rPr>
              <w:t>サイトまたは本</w:t>
            </w:r>
            <w:r w:rsidRPr="00BE3736">
              <w:rPr>
                <w:rFonts w:eastAsia="MS PGothic"/>
                <w:sz w:val="20"/>
              </w:rPr>
              <w:t xml:space="preserve"> Web </w:t>
            </w:r>
            <w:r w:rsidRPr="00BE3736">
              <w:rPr>
                <w:rFonts w:eastAsia="MS PGothic"/>
                <w:sz w:val="20"/>
              </w:rPr>
              <w:t>サイトに含まれる情報、記事、テンプレート、あるいは関連グラフィックに関する完全性、正確性、信頼性、適合性、または利用可能性について、明示または黙示のいかなる表明または保証も行いません。かかる情報に依拠して生じたいかなる結果についても</w:t>
            </w:r>
            <w:r w:rsidRPr="00BE3736">
              <w:rPr>
                <w:rFonts w:eastAsia="MS PGothic"/>
                <w:sz w:val="20"/>
              </w:rPr>
              <w:t xml:space="preserve"> Smartsheet </w:t>
            </w:r>
            <w:r w:rsidRPr="00BE3736">
              <w:rPr>
                <w:rFonts w:eastAsia="MS PGothic"/>
                <w:sz w:val="20"/>
              </w:rPr>
              <w:t>は一切責任を負いませんので、各自の責任と判断のもとにご利用ください。</w:t>
            </w:r>
          </w:p>
        </w:tc>
      </w:tr>
    </w:tbl>
    <w:p w14:paraId="0F1AB73F" w14:textId="77777777" w:rsidR="00A64F9A" w:rsidRPr="00BE3736" w:rsidRDefault="00A64F9A" w:rsidP="00BE3736">
      <w:pPr>
        <w:autoSpaceDE w:val="0"/>
        <w:autoSpaceDN w:val="0"/>
        <w:rPr>
          <w:rFonts w:eastAsia="MS PGothic"/>
          <w:sz w:val="20"/>
          <w:szCs w:val="20"/>
        </w:rPr>
      </w:pPr>
    </w:p>
    <w:sectPr w:rsidR="00A64F9A" w:rsidRPr="00BE3736"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535D0" w14:textId="77777777" w:rsidR="004375BB" w:rsidRDefault="004375BB" w:rsidP="00480F66">
      <w:pPr>
        <w:spacing w:after="0"/>
      </w:pPr>
      <w:r>
        <w:separator/>
      </w:r>
    </w:p>
  </w:endnote>
  <w:endnote w:type="continuationSeparator" w:id="0">
    <w:p w14:paraId="2DBC4CB1" w14:textId="77777777" w:rsidR="004375BB" w:rsidRDefault="004375BB" w:rsidP="00480F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C730" w14:textId="77777777" w:rsidR="00916890" w:rsidRPr="00C1399E" w:rsidRDefault="00916890" w:rsidP="00770091">
    <w:pPr>
      <w:pStyle w:val="Footer"/>
      <w:tabs>
        <w:tab w:val="clear" w:pos="9360"/>
        <w:tab w:val="right" w:pos="10440"/>
      </w:tabs>
      <w:spacing w:line="360" w:lineRule="auto"/>
      <w:rPr>
        <w:rFonts w:eastAsia="MS PGothic"/>
      </w:rPr>
    </w:pPr>
    <w:r w:rsidRPr="00C1399E">
      <w:rPr>
        <w:rFonts w:eastAsia="MS PGothic"/>
        <w:bCs/>
        <w:sz w:val="20"/>
      </w:rPr>
      <w:tab/>
    </w:r>
    <w:r w:rsidRPr="00C1399E">
      <w:rPr>
        <w:rFonts w:eastAsia="MS PGothic"/>
        <w:bCs/>
        <w:sz w:val="20"/>
      </w:rPr>
      <w:tab/>
    </w:r>
    <w:r w:rsidRPr="00C1399E">
      <w:rPr>
        <w:rFonts w:eastAsia="MS PGothic"/>
        <w:sz w:val="20"/>
      </w:rPr>
      <w:t>ページ</w:t>
    </w:r>
    <w:r w:rsidRPr="00C1399E">
      <w:rPr>
        <w:rFonts w:eastAsia="MS PGothic"/>
        <w:sz w:val="20"/>
      </w:rPr>
      <w:t xml:space="preserve"> </w:t>
    </w:r>
    <w:r w:rsidRPr="00C1399E">
      <w:rPr>
        <w:rFonts w:eastAsia="MS PGothic"/>
        <w:bCs/>
        <w:sz w:val="20"/>
      </w:rPr>
      <w:fldChar w:fldCharType="begin"/>
    </w:r>
    <w:r w:rsidRPr="00C1399E">
      <w:rPr>
        <w:rFonts w:eastAsia="MS PGothic"/>
        <w:bCs/>
        <w:sz w:val="20"/>
      </w:rPr>
      <w:instrText xml:space="preserve"> PAGE  \* Arabic  \* MERGEFORMAT </w:instrText>
    </w:r>
    <w:r w:rsidRPr="00C1399E">
      <w:rPr>
        <w:rFonts w:eastAsia="MS PGothic"/>
        <w:bCs/>
        <w:sz w:val="20"/>
      </w:rPr>
      <w:fldChar w:fldCharType="separate"/>
    </w:r>
    <w:r w:rsidR="00AB2029" w:rsidRPr="00AB2029">
      <w:rPr>
        <w:rFonts w:eastAsia="MS PGothic"/>
        <w:noProof/>
        <w:sz w:val="20"/>
      </w:rPr>
      <w:t>6</w:t>
    </w:r>
    <w:r w:rsidRPr="00C1399E">
      <w:rPr>
        <w:rFonts w:eastAsia="MS PGothic"/>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BD9E4" w14:textId="77777777" w:rsidR="00916890" w:rsidRPr="00C1399E" w:rsidRDefault="00916890" w:rsidP="00C805C2">
    <w:pPr>
      <w:pStyle w:val="Footer"/>
      <w:tabs>
        <w:tab w:val="clear" w:pos="9360"/>
        <w:tab w:val="right" w:pos="10440"/>
      </w:tabs>
      <w:spacing w:line="360" w:lineRule="auto"/>
      <w:rPr>
        <w:rFonts w:eastAsia="MS PGothic"/>
        <w:bCs/>
        <w:sz w:val="20"/>
      </w:rPr>
    </w:pPr>
    <w:r w:rsidRPr="00C1399E">
      <w:rPr>
        <w:rFonts w:eastAsia="MS PGothic"/>
        <w:bCs/>
        <w:sz w:val="20"/>
      </w:rPr>
      <w:tab/>
    </w:r>
    <w:r w:rsidRPr="00C1399E">
      <w:rPr>
        <w:rFonts w:eastAsia="MS PGothic"/>
        <w:bCs/>
        <w:sz w:val="20"/>
      </w:rPr>
      <w:tab/>
    </w:r>
    <w:r w:rsidRPr="00C1399E">
      <w:rPr>
        <w:rFonts w:eastAsia="MS PGothic" w:cs="SimSun" w:hint="eastAsia"/>
        <w:sz w:val="20"/>
      </w:rPr>
      <w:t>ページ</w:t>
    </w:r>
    <w:r w:rsidRPr="00C1399E">
      <w:rPr>
        <w:rFonts w:eastAsia="MS PGothic"/>
        <w:sz w:val="20"/>
      </w:rPr>
      <w:t xml:space="preserve"> </w:t>
    </w:r>
    <w:r w:rsidRPr="00C1399E">
      <w:rPr>
        <w:rFonts w:eastAsia="MS PGothic"/>
        <w:bCs/>
        <w:sz w:val="20"/>
      </w:rPr>
      <w:fldChar w:fldCharType="begin"/>
    </w:r>
    <w:r w:rsidRPr="00C1399E">
      <w:rPr>
        <w:rFonts w:eastAsia="MS PGothic"/>
        <w:bCs/>
        <w:sz w:val="20"/>
      </w:rPr>
      <w:instrText xml:space="preserve"> PAGE  \* Arabic  \* MERGEFORMAT </w:instrText>
    </w:r>
    <w:r w:rsidRPr="00C1399E">
      <w:rPr>
        <w:rFonts w:eastAsia="MS PGothic"/>
        <w:bCs/>
        <w:sz w:val="20"/>
      </w:rPr>
      <w:fldChar w:fldCharType="separate"/>
    </w:r>
    <w:r w:rsidR="00AB2029" w:rsidRPr="00AB2029">
      <w:rPr>
        <w:rFonts w:eastAsia="MS PGothic"/>
        <w:noProof/>
        <w:sz w:val="20"/>
      </w:rPr>
      <w:t>7</w:t>
    </w:r>
    <w:r w:rsidRPr="00C1399E">
      <w:rPr>
        <w:rFonts w:eastAsia="MS PGothic"/>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7D591" w14:textId="77777777" w:rsidR="004375BB" w:rsidRDefault="004375BB" w:rsidP="00480F66">
      <w:pPr>
        <w:spacing w:after="0"/>
      </w:pPr>
      <w:r>
        <w:separator/>
      </w:r>
    </w:p>
  </w:footnote>
  <w:footnote w:type="continuationSeparator" w:id="0">
    <w:p w14:paraId="3284BCE2" w14:textId="77777777" w:rsidR="004375BB" w:rsidRDefault="004375BB" w:rsidP="00480F6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095"/>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8B2283D"/>
    <w:multiLevelType w:val="hybridMultilevel"/>
    <w:tmpl w:val="E1063B6A"/>
    <w:lvl w:ilvl="0" w:tplc="7E4EEB66">
      <w:start w:val="1"/>
      <w:numFmt w:val="bullet"/>
      <w:lvlText w:val=""/>
      <w:lvlJc w:val="left"/>
      <w:pPr>
        <w:ind w:left="720" w:hanging="360"/>
      </w:pPr>
      <w:rPr>
        <w:rFonts w:ascii="Symbol" w:eastAsia="Symbol" w:hAnsi="Symbol" w:hint="default"/>
        <w:color w:val="595959" w:themeColor="text1" w:themeTint="A6"/>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 w15:restartNumberingAfterBreak="0">
    <w:nsid w:val="271507A3"/>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BB614C2"/>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6505B21"/>
    <w:multiLevelType w:val="multilevel"/>
    <w:tmpl w:val="FF481D56"/>
    <w:lvl w:ilvl="0">
      <w:start w:val="1"/>
      <w:numFmt w:val="decimal"/>
      <w:lvlText w:val="%1."/>
      <w:lvlJc w:val="left"/>
      <w:pPr>
        <w:ind w:left="540" w:hanging="360"/>
      </w:pPr>
      <w:rPr>
        <w:rFonts w:hint="default"/>
        <w:sz w:val="28"/>
      </w:rPr>
    </w:lvl>
    <w:lvl w:ilvl="1">
      <w:start w:val="1"/>
      <w:numFmt w:val="decimal"/>
      <w:isLgl/>
      <w:lvlText w:val="%1.%2"/>
      <w:lvlJc w:val="left"/>
      <w:pPr>
        <w:ind w:left="1980" w:hanging="720"/>
      </w:pPr>
      <w:rPr>
        <w:rFonts w:hint="default"/>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64A145F7"/>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2020037231">
    <w:abstractNumId w:val="4"/>
  </w:num>
  <w:num w:numId="2" w16cid:durableId="887376058">
    <w:abstractNumId w:val="2"/>
  </w:num>
  <w:num w:numId="3" w16cid:durableId="1880318957">
    <w:abstractNumId w:val="3"/>
  </w:num>
  <w:num w:numId="4" w16cid:durableId="1952667289">
    <w:abstractNumId w:val="5"/>
  </w:num>
  <w:num w:numId="5" w16cid:durableId="738164713">
    <w:abstractNumId w:val="0"/>
  </w:num>
  <w:num w:numId="6" w16cid:durableId="17060603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strictFirstAndLastChar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UwNTQyMTY3NzMysjRS0lEKTi0uzszPAymwrAUAILaadiwAAAA="/>
  </w:docVars>
  <w:rsids>
    <w:rsidRoot w:val="00723B50"/>
    <w:rsid w:val="000124C0"/>
    <w:rsid w:val="00013EDA"/>
    <w:rsid w:val="00025EEE"/>
    <w:rsid w:val="00043B56"/>
    <w:rsid w:val="0004771F"/>
    <w:rsid w:val="00055493"/>
    <w:rsid w:val="000555F6"/>
    <w:rsid w:val="00063D41"/>
    <w:rsid w:val="000844EC"/>
    <w:rsid w:val="00084DC6"/>
    <w:rsid w:val="000C1C8B"/>
    <w:rsid w:val="000E13F9"/>
    <w:rsid w:val="000E43CC"/>
    <w:rsid w:val="000F6E6F"/>
    <w:rsid w:val="00104901"/>
    <w:rsid w:val="00104E3A"/>
    <w:rsid w:val="001228CB"/>
    <w:rsid w:val="00124866"/>
    <w:rsid w:val="0013044C"/>
    <w:rsid w:val="00130D91"/>
    <w:rsid w:val="00143339"/>
    <w:rsid w:val="00144067"/>
    <w:rsid w:val="00184DC6"/>
    <w:rsid w:val="00186202"/>
    <w:rsid w:val="001920B4"/>
    <w:rsid w:val="001A6F77"/>
    <w:rsid w:val="001B18BA"/>
    <w:rsid w:val="001C6DA8"/>
    <w:rsid w:val="001D28E1"/>
    <w:rsid w:val="001F64FB"/>
    <w:rsid w:val="0021346C"/>
    <w:rsid w:val="00214FE7"/>
    <w:rsid w:val="00223549"/>
    <w:rsid w:val="00250EF4"/>
    <w:rsid w:val="002731D3"/>
    <w:rsid w:val="00274428"/>
    <w:rsid w:val="0027725D"/>
    <w:rsid w:val="0029626D"/>
    <w:rsid w:val="002A658C"/>
    <w:rsid w:val="002B385A"/>
    <w:rsid w:val="002C2C40"/>
    <w:rsid w:val="002D199F"/>
    <w:rsid w:val="002D2696"/>
    <w:rsid w:val="002D5E3D"/>
    <w:rsid w:val="002D6D20"/>
    <w:rsid w:val="002E065B"/>
    <w:rsid w:val="002E26C9"/>
    <w:rsid w:val="002E7B3A"/>
    <w:rsid w:val="00306D1F"/>
    <w:rsid w:val="00310D69"/>
    <w:rsid w:val="00335259"/>
    <w:rsid w:val="003362B6"/>
    <w:rsid w:val="00341FCC"/>
    <w:rsid w:val="0034680B"/>
    <w:rsid w:val="00374D05"/>
    <w:rsid w:val="00383364"/>
    <w:rsid w:val="00397DBE"/>
    <w:rsid w:val="003B08BB"/>
    <w:rsid w:val="003B37F1"/>
    <w:rsid w:val="003B7DD5"/>
    <w:rsid w:val="003C6D62"/>
    <w:rsid w:val="003E79B7"/>
    <w:rsid w:val="00414587"/>
    <w:rsid w:val="00424282"/>
    <w:rsid w:val="00424A44"/>
    <w:rsid w:val="00427A17"/>
    <w:rsid w:val="00434028"/>
    <w:rsid w:val="004375BB"/>
    <w:rsid w:val="00443CC7"/>
    <w:rsid w:val="0044499B"/>
    <w:rsid w:val="00452D61"/>
    <w:rsid w:val="00453E1B"/>
    <w:rsid w:val="00464FA5"/>
    <w:rsid w:val="00480F66"/>
    <w:rsid w:val="0048129D"/>
    <w:rsid w:val="00486B00"/>
    <w:rsid w:val="00490842"/>
    <w:rsid w:val="00494038"/>
    <w:rsid w:val="0049757A"/>
    <w:rsid w:val="004C5D63"/>
    <w:rsid w:val="004F428F"/>
    <w:rsid w:val="004F536F"/>
    <w:rsid w:val="00517CA8"/>
    <w:rsid w:val="005209E2"/>
    <w:rsid w:val="0053041A"/>
    <w:rsid w:val="005334A1"/>
    <w:rsid w:val="00541C9F"/>
    <w:rsid w:val="00541D2D"/>
    <w:rsid w:val="00563D5D"/>
    <w:rsid w:val="00570608"/>
    <w:rsid w:val="0058391B"/>
    <w:rsid w:val="005D0142"/>
    <w:rsid w:val="005F3691"/>
    <w:rsid w:val="005F4543"/>
    <w:rsid w:val="00613E0B"/>
    <w:rsid w:val="00621B2C"/>
    <w:rsid w:val="00632CB7"/>
    <w:rsid w:val="0064485A"/>
    <w:rsid w:val="00647EEB"/>
    <w:rsid w:val="00667375"/>
    <w:rsid w:val="00671A46"/>
    <w:rsid w:val="006748DB"/>
    <w:rsid w:val="00692B21"/>
    <w:rsid w:val="00696BF6"/>
    <w:rsid w:val="006A0235"/>
    <w:rsid w:val="006B1626"/>
    <w:rsid w:val="006B6751"/>
    <w:rsid w:val="006B6B6E"/>
    <w:rsid w:val="006C5F2C"/>
    <w:rsid w:val="006C6666"/>
    <w:rsid w:val="006E584A"/>
    <w:rsid w:val="006F1492"/>
    <w:rsid w:val="006F5BA2"/>
    <w:rsid w:val="00700F83"/>
    <w:rsid w:val="00707252"/>
    <w:rsid w:val="00722999"/>
    <w:rsid w:val="00722C8E"/>
    <w:rsid w:val="00722E71"/>
    <w:rsid w:val="00723B50"/>
    <w:rsid w:val="00744401"/>
    <w:rsid w:val="00756CC3"/>
    <w:rsid w:val="00770091"/>
    <w:rsid w:val="0077063E"/>
    <w:rsid w:val="00772B25"/>
    <w:rsid w:val="00773199"/>
    <w:rsid w:val="007871F5"/>
    <w:rsid w:val="007A03C5"/>
    <w:rsid w:val="007B7C0B"/>
    <w:rsid w:val="007C2D33"/>
    <w:rsid w:val="007E79B5"/>
    <w:rsid w:val="007F0342"/>
    <w:rsid w:val="007F1D65"/>
    <w:rsid w:val="007F44A4"/>
    <w:rsid w:val="007F744B"/>
    <w:rsid w:val="00801DF5"/>
    <w:rsid w:val="00802E66"/>
    <w:rsid w:val="008106B4"/>
    <w:rsid w:val="008469E6"/>
    <w:rsid w:val="008476E7"/>
    <w:rsid w:val="00854E82"/>
    <w:rsid w:val="00864BED"/>
    <w:rsid w:val="00865101"/>
    <w:rsid w:val="008669ED"/>
    <w:rsid w:val="008752AF"/>
    <w:rsid w:val="008758A7"/>
    <w:rsid w:val="00881D2F"/>
    <w:rsid w:val="00887262"/>
    <w:rsid w:val="008939B0"/>
    <w:rsid w:val="00897ABF"/>
    <w:rsid w:val="008A097E"/>
    <w:rsid w:val="008A2B06"/>
    <w:rsid w:val="008B519A"/>
    <w:rsid w:val="008C2DF3"/>
    <w:rsid w:val="008D3852"/>
    <w:rsid w:val="0090624C"/>
    <w:rsid w:val="00906570"/>
    <w:rsid w:val="00916890"/>
    <w:rsid w:val="0091722A"/>
    <w:rsid w:val="0092169A"/>
    <w:rsid w:val="009323A7"/>
    <w:rsid w:val="00947186"/>
    <w:rsid w:val="009524A2"/>
    <w:rsid w:val="00955D6F"/>
    <w:rsid w:val="009773B6"/>
    <w:rsid w:val="0099785D"/>
    <w:rsid w:val="009A177A"/>
    <w:rsid w:val="009B24E9"/>
    <w:rsid w:val="009B3F85"/>
    <w:rsid w:val="009B4796"/>
    <w:rsid w:val="009C7154"/>
    <w:rsid w:val="009D1694"/>
    <w:rsid w:val="009E4124"/>
    <w:rsid w:val="009F19C0"/>
    <w:rsid w:val="009F740D"/>
    <w:rsid w:val="00A11A26"/>
    <w:rsid w:val="00A1218A"/>
    <w:rsid w:val="00A122C8"/>
    <w:rsid w:val="00A15E56"/>
    <w:rsid w:val="00A30894"/>
    <w:rsid w:val="00A332BB"/>
    <w:rsid w:val="00A45D7D"/>
    <w:rsid w:val="00A54153"/>
    <w:rsid w:val="00A57082"/>
    <w:rsid w:val="00A64F9A"/>
    <w:rsid w:val="00A6517C"/>
    <w:rsid w:val="00A72DB9"/>
    <w:rsid w:val="00A81B1E"/>
    <w:rsid w:val="00A87F35"/>
    <w:rsid w:val="00A92BEF"/>
    <w:rsid w:val="00AB2029"/>
    <w:rsid w:val="00AC41EA"/>
    <w:rsid w:val="00AC78FF"/>
    <w:rsid w:val="00AD6304"/>
    <w:rsid w:val="00AE4F63"/>
    <w:rsid w:val="00B02B63"/>
    <w:rsid w:val="00B11A9D"/>
    <w:rsid w:val="00B13473"/>
    <w:rsid w:val="00B14E5B"/>
    <w:rsid w:val="00B32BCA"/>
    <w:rsid w:val="00B41B66"/>
    <w:rsid w:val="00B62C98"/>
    <w:rsid w:val="00B669B9"/>
    <w:rsid w:val="00B730AE"/>
    <w:rsid w:val="00B84C2A"/>
    <w:rsid w:val="00B954B2"/>
    <w:rsid w:val="00BD0B57"/>
    <w:rsid w:val="00BE210B"/>
    <w:rsid w:val="00BE3736"/>
    <w:rsid w:val="00BE75A6"/>
    <w:rsid w:val="00BF08D2"/>
    <w:rsid w:val="00BF39E1"/>
    <w:rsid w:val="00C1073A"/>
    <w:rsid w:val="00C1399E"/>
    <w:rsid w:val="00C24B15"/>
    <w:rsid w:val="00C41E1D"/>
    <w:rsid w:val="00C454ED"/>
    <w:rsid w:val="00C4718F"/>
    <w:rsid w:val="00C476DB"/>
    <w:rsid w:val="00C54EC5"/>
    <w:rsid w:val="00C61CBF"/>
    <w:rsid w:val="00C73FC3"/>
    <w:rsid w:val="00C805C2"/>
    <w:rsid w:val="00C82AF3"/>
    <w:rsid w:val="00CA207F"/>
    <w:rsid w:val="00CA5F14"/>
    <w:rsid w:val="00CB693F"/>
    <w:rsid w:val="00CC3423"/>
    <w:rsid w:val="00CD0AD6"/>
    <w:rsid w:val="00CD7C92"/>
    <w:rsid w:val="00CE21F1"/>
    <w:rsid w:val="00CF7D4E"/>
    <w:rsid w:val="00D0752D"/>
    <w:rsid w:val="00D15EE8"/>
    <w:rsid w:val="00D26862"/>
    <w:rsid w:val="00D4249E"/>
    <w:rsid w:val="00D43FC2"/>
    <w:rsid w:val="00D45F6C"/>
    <w:rsid w:val="00D46F77"/>
    <w:rsid w:val="00D550C5"/>
    <w:rsid w:val="00D56FC8"/>
    <w:rsid w:val="00D74D73"/>
    <w:rsid w:val="00D75BBE"/>
    <w:rsid w:val="00D75CFD"/>
    <w:rsid w:val="00D81548"/>
    <w:rsid w:val="00D87332"/>
    <w:rsid w:val="00D93AA6"/>
    <w:rsid w:val="00D95479"/>
    <w:rsid w:val="00DC17AA"/>
    <w:rsid w:val="00DE6226"/>
    <w:rsid w:val="00DF2B42"/>
    <w:rsid w:val="00E11F8E"/>
    <w:rsid w:val="00E16FE9"/>
    <w:rsid w:val="00E62E7D"/>
    <w:rsid w:val="00E63191"/>
    <w:rsid w:val="00E7173D"/>
    <w:rsid w:val="00E8459A"/>
    <w:rsid w:val="00ED330A"/>
    <w:rsid w:val="00F05F3A"/>
    <w:rsid w:val="00F21222"/>
    <w:rsid w:val="00F27C67"/>
    <w:rsid w:val="00F303EB"/>
    <w:rsid w:val="00F31A79"/>
    <w:rsid w:val="00F4066E"/>
    <w:rsid w:val="00F46CF3"/>
    <w:rsid w:val="00F74321"/>
    <w:rsid w:val="00F8234D"/>
    <w:rsid w:val="00F841E3"/>
    <w:rsid w:val="00FA7A23"/>
    <w:rsid w:val="00FC684E"/>
    <w:rsid w:val="00FD5E86"/>
    <w:rsid w:val="00FD76BD"/>
    <w:rsid w:val="00FE15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FE18B"/>
  <w15:docId w15:val="{0BC23B33-8B8D-7B4C-9382-EE26EA4E8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30A"/>
    <w:pPr>
      <w:spacing w:line="240" w:lineRule="auto"/>
    </w:pPr>
    <w:rPr>
      <w:rFonts w:ascii="Century Gothic" w:eastAsia="Century Gothic" w:hAnsi="Century Gothic"/>
      <w:sz w:val="21"/>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outlineLvl w:val="1"/>
    </w:pPr>
    <w:rPr>
      <w:sz w:val="24"/>
    </w:rPr>
  </w:style>
  <w:style w:type="paragraph" w:styleId="Heading3">
    <w:name w:val="heading 3"/>
    <w:basedOn w:val="Normal"/>
    <w:next w:val="Normal"/>
    <w:link w:val="Heading3Char"/>
    <w:uiPriority w:val="9"/>
    <w:unhideWhenUsed/>
    <w:qFormat/>
    <w:rsid w:val="00696BF6"/>
    <w:pPr>
      <w:keepNext/>
      <w:spacing w:after="80"/>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eastAsia="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eastAsia="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eastAsia="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next w:val="Normal"/>
    <w:autoRedefine/>
    <w:uiPriority w:val="39"/>
    <w:unhideWhenUsed/>
    <w:qFormat/>
    <w:rsid w:val="003E79B7"/>
    <w:pPr>
      <w:tabs>
        <w:tab w:val="left" w:pos="440"/>
        <w:tab w:val="right" w:leader="dot" w:pos="10502"/>
      </w:tabs>
      <w:spacing w:after="0" w:line="240" w:lineRule="auto"/>
      <w:contextualSpacing/>
    </w:pPr>
    <w:rPr>
      <w:rFonts w:ascii="Century Gothic" w:eastAsia="Century Gothic" w:hAnsi="Century Gothic"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 w:type="character" w:styleId="FollowedHyperlink">
    <w:name w:val="FollowedHyperlink"/>
    <w:basedOn w:val="DefaultParagraphFont"/>
    <w:uiPriority w:val="99"/>
    <w:semiHidden/>
    <w:unhideWhenUsed/>
    <w:rsid w:val="00A81B1E"/>
    <w:rPr>
      <w:color w:val="954F72" w:themeColor="followedHyperlink"/>
      <w:u w:val="single"/>
    </w:rPr>
  </w:style>
  <w:style w:type="paragraph" w:styleId="BalloonText">
    <w:name w:val="Balloon Text"/>
    <w:basedOn w:val="Normal"/>
    <w:link w:val="BalloonTextChar"/>
    <w:uiPriority w:val="99"/>
    <w:semiHidden/>
    <w:unhideWhenUsed/>
    <w:rsid w:val="00A57082"/>
    <w:pPr>
      <w:spacing w:after="0"/>
    </w:pPr>
    <w:rPr>
      <w:rFonts w:ascii="Tahoma" w:eastAsia="Tahoma" w:hAnsi="Tahoma" w:cs="Tahoma"/>
      <w:sz w:val="16"/>
      <w:szCs w:val="16"/>
    </w:rPr>
  </w:style>
  <w:style w:type="character" w:customStyle="1" w:styleId="BalloonTextChar">
    <w:name w:val="Balloon Text Char"/>
    <w:basedOn w:val="DefaultParagraphFont"/>
    <w:link w:val="BalloonText"/>
    <w:uiPriority w:val="99"/>
    <w:semiHidden/>
    <w:rsid w:val="00A57082"/>
    <w:rPr>
      <w:rFonts w:ascii="Tahoma" w:eastAsia="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p.smartsheet.com/try-it?trp=77920&amp;utm_language=JP&amp;utm_source=template-word&amp;utm_medium=content&amp;utm_campaign=ic-Financial+Plan-word-77920-jp&amp;lpa=ic+Financial+Plan+word+77920+j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宋体"/>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5AB25-1D7D-4EF6-8C6C-E66CE8D47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151</Words>
  <Characters>862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Brittany Johnston</cp:lastModifiedBy>
  <cp:revision>10</cp:revision>
  <cp:lastPrinted>2020-04-01T21:02:00Z</cp:lastPrinted>
  <dcterms:created xsi:type="dcterms:W3CDTF">2023-07-07T20:04:00Z</dcterms:created>
  <dcterms:modified xsi:type="dcterms:W3CDTF">2023-12-13T16:12:00Z</dcterms:modified>
</cp:coreProperties>
</file>