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494E" w14:textId="439386E7" w:rsidR="00C805C2" w:rsidRDefault="003767DA" w:rsidP="00424282">
      <w:pPr>
        <w:spacing w:after="0"/>
        <w:rPr>
          <w:b/>
          <w:color w:val="808080" w:themeColor="background1" w:themeShade="80"/>
          <w:sz w:val="36"/>
        </w:rPr>
      </w:pPr>
      <w:r w:rsidRPr="003767DA">
        <w:rPr>
          <w:b/>
          <w:color w:val="808080" w:themeColor="background1" w:themeShade="80"/>
          <w:sz w:val="36"/>
        </w:rPr>
        <w:drawing>
          <wp:anchor distT="0" distB="0" distL="114300" distR="114300" simplePos="0" relativeHeight="251658240" behindDoc="0" locked="0" layoutInCell="1" allowOverlap="1" wp14:anchorId="32092C7F" wp14:editId="24C0B1AE">
            <wp:simplePos x="0" y="0"/>
            <wp:positionH relativeFrom="column">
              <wp:posOffset>4084320</wp:posOffset>
            </wp:positionH>
            <wp:positionV relativeFrom="paragraph">
              <wp:posOffset>-334010</wp:posOffset>
            </wp:positionV>
            <wp:extent cx="2857500" cy="344010"/>
            <wp:effectExtent l="0" t="0" r="0" b="0"/>
            <wp:wrapNone/>
            <wp:docPr id="1144089240" name="Picture 1" descr="A blue background with white letters&#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089240" name="Picture 1" descr="A blue background with white letters&#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57500" cy="344010"/>
                    </a:xfrm>
                    <a:prstGeom prst="rect">
                      <a:avLst/>
                    </a:prstGeom>
                  </pic:spPr>
                </pic:pic>
              </a:graphicData>
            </a:graphic>
            <wp14:sizeRelH relativeFrom="page">
              <wp14:pctWidth>0</wp14:pctWidth>
            </wp14:sizeRelH>
            <wp14:sizeRelV relativeFrom="page">
              <wp14:pctHeight>0</wp14:pctHeight>
            </wp14:sizeRelV>
          </wp:anchor>
        </w:drawing>
      </w:r>
      <w:r w:rsidR="006E584A">
        <w:rPr>
          <w:b/>
          <w:color w:val="808080" w:themeColor="background1" w:themeShade="80"/>
          <w:sz w:val="36"/>
        </w:rPr>
        <w:t>PLAN FINANCIER DE L’ENTREPRISE</w:t>
      </w:r>
    </w:p>
    <w:p w14:paraId="4AE02CC5" w14:textId="77777777" w:rsidR="007871F5" w:rsidRPr="007871F5" w:rsidRDefault="007871F5" w:rsidP="00424282">
      <w:pPr>
        <w:spacing w:after="0"/>
        <w:rPr>
          <w:b/>
          <w:color w:val="808080" w:themeColor="background1" w:themeShade="80"/>
          <w:sz w:val="20"/>
          <w:szCs w:val="20"/>
        </w:rPr>
      </w:pPr>
    </w:p>
    <w:p w14:paraId="15226FF0" w14:textId="77777777" w:rsidR="001B18BA" w:rsidRPr="009B3F85" w:rsidRDefault="007871F5" w:rsidP="009B3F85">
      <w:pPr>
        <w:pStyle w:val="Heading1"/>
        <w:numPr>
          <w:ilvl w:val="0"/>
          <w:numId w:val="1"/>
        </w:numPr>
        <w:ind w:left="360"/>
        <w:rPr>
          <w:szCs w:val="20"/>
        </w:rPr>
      </w:pPr>
      <w:r>
        <w:t>APERÇU FINANCIER</w:t>
      </w:r>
    </w:p>
    <w:tbl>
      <w:tblPr>
        <w:tblStyle w:val="TableGrid"/>
        <w:tblW w:w="0" w:type="auto"/>
        <w:tblInd w:w="-10" w:type="dxa"/>
        <w:tblLook w:val="04A0" w:firstRow="1" w:lastRow="0" w:firstColumn="1" w:lastColumn="0" w:noHBand="0" w:noVBand="1"/>
      </w:tblPr>
      <w:tblGrid>
        <w:gridCol w:w="10350"/>
      </w:tblGrid>
      <w:tr w:rsidR="001B18BA" w14:paraId="55A81C30" w14:textId="77777777" w:rsidTr="007871F5">
        <w:trPr>
          <w:trHeight w:val="489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652D1304" w14:textId="77777777" w:rsidR="001B18BA" w:rsidRPr="007871F5" w:rsidRDefault="007871F5" w:rsidP="00ED330A">
            <w:pPr>
              <w:spacing w:line="276" w:lineRule="auto"/>
              <w:ind w:left="-22" w:right="130"/>
              <w:rPr>
                <w:iCs/>
                <w:color w:val="000000" w:themeColor="text1"/>
                <w:sz w:val="18"/>
                <w:szCs w:val="18"/>
              </w:rPr>
            </w:pPr>
            <w:r>
              <w:rPr>
                <w:sz w:val="20"/>
              </w:rPr>
              <w:t xml:space="preserve">Utilisez cette section pour discuter des points clés et des points à retenir des données financières que vous fournirez dans les sections suivantes de la composante financière de votre plan d’affaires. </w:t>
            </w:r>
          </w:p>
          <w:p w14:paraId="0D3F6F93" w14:textId="77777777" w:rsidR="006E584A" w:rsidRPr="000F6E6F" w:rsidRDefault="006E584A" w:rsidP="00ED330A">
            <w:pPr>
              <w:spacing w:line="276" w:lineRule="auto"/>
              <w:ind w:left="71" w:right="130"/>
              <w:rPr>
                <w:iCs/>
                <w:color w:val="000000" w:themeColor="text1"/>
                <w:sz w:val="20"/>
                <w:szCs w:val="20"/>
              </w:rPr>
            </w:pPr>
          </w:p>
        </w:tc>
      </w:tr>
    </w:tbl>
    <w:p w14:paraId="2D4E49B6" w14:textId="77777777" w:rsidR="001B18BA" w:rsidRDefault="001B18BA" w:rsidP="001B18BA">
      <w:pPr>
        <w:ind w:left="360"/>
      </w:pPr>
    </w:p>
    <w:p w14:paraId="2F6E90A7" w14:textId="77777777" w:rsidR="00E7173D" w:rsidRPr="007871F5" w:rsidRDefault="007871F5" w:rsidP="007871F5">
      <w:pPr>
        <w:pStyle w:val="Heading1"/>
        <w:numPr>
          <w:ilvl w:val="0"/>
          <w:numId w:val="1"/>
        </w:numPr>
        <w:ind w:left="360"/>
      </w:pPr>
      <w:r>
        <w:t>HYPOTHÈSES</w:t>
      </w:r>
    </w:p>
    <w:tbl>
      <w:tblPr>
        <w:tblStyle w:val="TableGrid"/>
        <w:tblW w:w="0" w:type="auto"/>
        <w:tblInd w:w="-10" w:type="dxa"/>
        <w:tblLook w:val="04A0" w:firstRow="1" w:lastRow="0" w:firstColumn="1" w:lastColumn="0" w:noHBand="0" w:noVBand="1"/>
      </w:tblPr>
      <w:tblGrid>
        <w:gridCol w:w="10350"/>
      </w:tblGrid>
      <w:tr w:rsidR="001B18BA" w14:paraId="285BF570" w14:textId="77777777" w:rsidTr="007871F5">
        <w:trPr>
          <w:trHeight w:val="489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FB01FB9" w14:textId="77777777" w:rsidR="001B18BA" w:rsidRPr="007871F5" w:rsidRDefault="007871F5" w:rsidP="00ED330A">
            <w:pPr>
              <w:spacing w:line="276" w:lineRule="auto"/>
              <w:ind w:right="130"/>
              <w:rPr>
                <w:iCs/>
                <w:color w:val="000000" w:themeColor="text1"/>
                <w:sz w:val="18"/>
                <w:szCs w:val="18"/>
              </w:rPr>
            </w:pPr>
            <w:r>
              <w:rPr>
                <w:sz w:val="20"/>
              </w:rPr>
              <w:t>Chaque projection financière fournie est basée sur des hypothèses. Utilisez cette section pour décrire les hypothèses réalistes faites à l’appui des valeurs que vous fournissez tout au long de votre plan financier. Fournissez des références crédibles qui peuvent être vérifiées.</w:t>
            </w:r>
          </w:p>
          <w:p w14:paraId="62BDD9DE" w14:textId="77777777" w:rsidR="00452D61" w:rsidRPr="000F6E6F" w:rsidRDefault="00452D61" w:rsidP="00ED330A">
            <w:pPr>
              <w:spacing w:line="276" w:lineRule="auto"/>
              <w:ind w:right="130"/>
              <w:rPr>
                <w:iCs/>
                <w:color w:val="000000" w:themeColor="text1"/>
                <w:sz w:val="20"/>
                <w:szCs w:val="20"/>
              </w:rPr>
            </w:pPr>
          </w:p>
        </w:tc>
      </w:tr>
    </w:tbl>
    <w:p w14:paraId="6AE390B8" w14:textId="77777777" w:rsidR="007871F5" w:rsidRDefault="007871F5" w:rsidP="007871F5">
      <w:pPr>
        <w:ind w:left="360"/>
      </w:pPr>
    </w:p>
    <w:p w14:paraId="3733C42D" w14:textId="77777777" w:rsidR="007871F5" w:rsidRPr="007871F5" w:rsidRDefault="007871F5" w:rsidP="007871F5">
      <w:pPr>
        <w:pStyle w:val="Heading1"/>
        <w:numPr>
          <w:ilvl w:val="0"/>
          <w:numId w:val="1"/>
        </w:numPr>
        <w:ind w:left="360"/>
      </w:pPr>
      <w:r>
        <w:lastRenderedPageBreak/>
        <w:t>INDICATEURS FINANCIERS CLÉS ET RATIOS</w:t>
      </w:r>
    </w:p>
    <w:tbl>
      <w:tblPr>
        <w:tblStyle w:val="TableGrid"/>
        <w:tblW w:w="0" w:type="auto"/>
        <w:tblInd w:w="-10" w:type="dxa"/>
        <w:tblLook w:val="04A0" w:firstRow="1" w:lastRow="0" w:firstColumn="1" w:lastColumn="0" w:noHBand="0" w:noVBand="1"/>
      </w:tblPr>
      <w:tblGrid>
        <w:gridCol w:w="10350"/>
      </w:tblGrid>
      <w:tr w:rsidR="007871F5" w14:paraId="5441D106" w14:textId="77777777" w:rsidTr="007871F5">
        <w:trPr>
          <w:trHeight w:val="119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7F9CA63" w14:textId="77777777" w:rsidR="007871F5" w:rsidRDefault="007871F5" w:rsidP="00543BFF">
            <w:pPr>
              <w:spacing w:line="276" w:lineRule="auto"/>
              <w:ind w:right="130"/>
              <w:rPr>
                <w:iCs/>
                <w:color w:val="000000" w:themeColor="text1"/>
                <w:sz w:val="20"/>
                <w:szCs w:val="20"/>
              </w:rPr>
            </w:pPr>
            <w:r>
              <w:rPr>
                <w:color w:val="000000" w:themeColor="text1"/>
                <w:sz w:val="20"/>
              </w:rPr>
              <w:t>Utilisez cette section pour mettre en évidence les indicateurs et ratios financiers clés extraits de vos états financiers. Les ratios financiers sont utilisés par les banquiers, les analystes et les investisseurs pour évaluer la santé financière et la position de votre entreprise. Voici des exemples :</w:t>
            </w:r>
          </w:p>
          <w:p w14:paraId="24D62237" w14:textId="77777777" w:rsidR="007871F5" w:rsidRDefault="007871F5" w:rsidP="00543BFF">
            <w:pPr>
              <w:spacing w:line="276" w:lineRule="auto"/>
              <w:ind w:right="130"/>
              <w:rPr>
                <w:iCs/>
                <w:color w:val="000000" w:themeColor="text1"/>
                <w:sz w:val="20"/>
                <w:szCs w:val="20"/>
              </w:rPr>
            </w:pPr>
          </w:p>
          <w:p w14:paraId="45EB612F"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Taux de fonctionnement</w:t>
            </w:r>
          </w:p>
          <w:p w14:paraId="71FC33AB"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Ratios de liquidité</w:t>
            </w:r>
          </w:p>
          <w:p w14:paraId="73572107"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Taux d’endettement</w:t>
            </w:r>
          </w:p>
          <w:p w14:paraId="709AF7C3"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Ratios de rentabilité</w:t>
            </w:r>
          </w:p>
          <w:p w14:paraId="041FD52D"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Fonds de roulement</w:t>
            </w:r>
          </w:p>
        </w:tc>
      </w:tr>
    </w:tbl>
    <w:p w14:paraId="7BFCBD6D" w14:textId="77777777" w:rsidR="001B18BA" w:rsidRDefault="001B18BA" w:rsidP="001B18BA">
      <w:pPr>
        <w:ind w:left="360"/>
      </w:pPr>
    </w:p>
    <w:p w14:paraId="29FBEE2B" w14:textId="77777777" w:rsidR="00F8234D" w:rsidRPr="007871F5" w:rsidRDefault="00F8234D" w:rsidP="00F8234D">
      <w:pPr>
        <w:pStyle w:val="Heading1"/>
        <w:numPr>
          <w:ilvl w:val="0"/>
          <w:numId w:val="1"/>
        </w:numPr>
        <w:ind w:left="360"/>
      </w:pPr>
      <w:r>
        <w:lastRenderedPageBreak/>
        <w:t>analyse du seuil de rentabilité</w:t>
      </w:r>
    </w:p>
    <w:tbl>
      <w:tblPr>
        <w:tblStyle w:val="TableGrid"/>
        <w:tblW w:w="0" w:type="auto"/>
        <w:tblInd w:w="-10" w:type="dxa"/>
        <w:tblLook w:val="04A0" w:firstRow="1" w:lastRow="0" w:firstColumn="1" w:lastColumn="0" w:noHBand="0" w:noVBand="1"/>
      </w:tblPr>
      <w:tblGrid>
        <w:gridCol w:w="10426"/>
      </w:tblGrid>
      <w:tr w:rsidR="00F8234D" w14:paraId="06855B5A" w14:textId="77777777" w:rsidTr="00543BFF">
        <w:trPr>
          <w:trHeight w:val="119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40ECACEE" w14:textId="77777777" w:rsidR="00F8234D" w:rsidRDefault="00F8234D" w:rsidP="00F8234D">
            <w:pPr>
              <w:spacing w:line="276" w:lineRule="auto"/>
              <w:ind w:right="130"/>
              <w:rPr>
                <w:iCs/>
                <w:color w:val="000000" w:themeColor="text1"/>
                <w:sz w:val="20"/>
                <w:szCs w:val="20"/>
              </w:rPr>
            </w:pPr>
            <w:r>
              <w:rPr>
                <w:color w:val="000000" w:themeColor="text1"/>
                <w:sz w:val="20"/>
              </w:rPr>
              <w:t>Utilisez cette section pour inclure un tableau et/ou un diagramme qui fournit des informations sur le nombre d’unités que votre entreprise doit vendre afin de couvrir les coûts et de réaliser des bénéfices.</w:t>
            </w:r>
          </w:p>
          <w:p w14:paraId="52B300F9" w14:textId="77777777" w:rsidR="00C61CBF" w:rsidRDefault="00C61CBF" w:rsidP="00F8234D">
            <w:pPr>
              <w:spacing w:line="276" w:lineRule="auto"/>
              <w:ind w:right="130"/>
              <w:rPr>
                <w:iCs/>
                <w:color w:val="000000" w:themeColor="text1"/>
                <w:sz w:val="20"/>
                <w:szCs w:val="20"/>
              </w:rPr>
            </w:pPr>
          </w:p>
          <w:p w14:paraId="38393A7B" w14:textId="77777777" w:rsidR="00C61CBF" w:rsidRPr="00F8234D" w:rsidRDefault="00C61CBF" w:rsidP="00F8234D">
            <w:pPr>
              <w:spacing w:line="276" w:lineRule="auto"/>
              <w:ind w:right="130"/>
              <w:rPr>
                <w:iCs/>
                <w:color w:val="000000" w:themeColor="text1"/>
                <w:sz w:val="20"/>
                <w:szCs w:val="20"/>
              </w:rPr>
            </w:pPr>
            <w:r>
              <w:rPr>
                <w:iCs/>
                <w:noProof/>
                <w:color w:val="000000" w:themeColor="text1"/>
                <w:sz w:val="20"/>
                <w:szCs w:val="20"/>
              </w:rPr>
              <w:drawing>
                <wp:inline distT="0" distB="0" distL="0" distR="0" wp14:anchorId="7C3F7B16" wp14:editId="6AFBFA04">
                  <wp:extent cx="6163555" cy="4354071"/>
                  <wp:effectExtent l="0" t="0" r="889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6163555" cy="4354071"/>
                          </a:xfrm>
                          <a:prstGeom prst="rect">
                            <a:avLst/>
                          </a:prstGeom>
                        </pic:spPr>
                      </pic:pic>
                    </a:graphicData>
                  </a:graphic>
                </wp:inline>
              </w:drawing>
            </w:r>
          </w:p>
        </w:tc>
      </w:tr>
    </w:tbl>
    <w:p w14:paraId="450E36EE" w14:textId="77777777" w:rsidR="00F8234D" w:rsidRPr="001B18BA" w:rsidRDefault="00F8234D" w:rsidP="00F8234D">
      <w:pPr>
        <w:ind w:left="360"/>
      </w:pPr>
    </w:p>
    <w:p w14:paraId="4D5E1AE2" w14:textId="77777777" w:rsidR="00F8234D" w:rsidRPr="001B18BA" w:rsidRDefault="00F8234D" w:rsidP="001B18BA">
      <w:pPr>
        <w:ind w:left="360"/>
      </w:pPr>
    </w:p>
    <w:p w14:paraId="2E3A2273" w14:textId="77777777" w:rsidR="005F3691" w:rsidRDefault="00F8234D" w:rsidP="00C805C2">
      <w:pPr>
        <w:pStyle w:val="Heading1"/>
        <w:numPr>
          <w:ilvl w:val="0"/>
          <w:numId w:val="1"/>
        </w:numPr>
        <w:ind w:left="360"/>
        <w:rPr>
          <w:szCs w:val="28"/>
        </w:rPr>
      </w:pPr>
      <w:r>
        <w:lastRenderedPageBreak/>
        <w:t>états financiers</w:t>
      </w:r>
    </w:p>
    <w:p w14:paraId="07486129" w14:textId="77777777" w:rsidR="00AD6304" w:rsidRDefault="00FE15B7" w:rsidP="00E62E7D">
      <w:pPr>
        <w:pStyle w:val="Heading2"/>
        <w:numPr>
          <w:ilvl w:val="1"/>
          <w:numId w:val="1"/>
        </w:numPr>
        <w:ind w:left="900" w:hanging="540"/>
      </w:pPr>
      <w:r>
        <w:t xml:space="preserve">COMPTE DE PROFITS ET PERTES PRO FORMA </w:t>
      </w:r>
    </w:p>
    <w:tbl>
      <w:tblPr>
        <w:tblStyle w:val="TableGrid"/>
        <w:tblW w:w="0" w:type="auto"/>
        <w:tblInd w:w="350" w:type="dxa"/>
        <w:tblLook w:val="04A0" w:firstRow="1" w:lastRow="0" w:firstColumn="1" w:lastColumn="0" w:noHBand="0" w:noVBand="1"/>
      </w:tblPr>
      <w:tblGrid>
        <w:gridCol w:w="9990"/>
      </w:tblGrid>
      <w:tr w:rsidR="00A92BEF" w14:paraId="4ADDA279" w14:textId="77777777" w:rsidTr="00A92BEF">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EC40B07" w14:textId="77777777" w:rsidR="00A92BEF" w:rsidRPr="00FE15B7" w:rsidRDefault="00FE15B7" w:rsidP="00ED330A">
            <w:pPr>
              <w:spacing w:line="276" w:lineRule="auto"/>
              <w:rPr>
                <w:sz w:val="20"/>
                <w:szCs w:val="21"/>
              </w:rPr>
            </w:pPr>
            <w:r>
              <w:rPr>
                <w:sz w:val="20"/>
              </w:rPr>
              <w:t>Utilisez cette section pour fournir un compte des profits et pertes pro forma, également connu sous le nom de compte de résultat prévisionnel, qui détaille les ventes, le coût des ventes, la rentabilité et d’autres informations financières essentielles aux parties prenantes.</w:t>
            </w:r>
          </w:p>
          <w:p w14:paraId="41E80108" w14:textId="77777777" w:rsidR="00A92BEF" w:rsidRPr="00FE15B7" w:rsidRDefault="00A92BEF" w:rsidP="00ED330A">
            <w:pPr>
              <w:spacing w:line="276" w:lineRule="auto"/>
              <w:rPr>
                <w:sz w:val="20"/>
                <w:szCs w:val="21"/>
              </w:rPr>
            </w:pPr>
          </w:p>
          <w:p w14:paraId="7C7C628C" w14:textId="77777777" w:rsidR="00A92BEF" w:rsidRPr="00FE15B7" w:rsidRDefault="00C61CBF" w:rsidP="00ED330A">
            <w:pPr>
              <w:spacing w:line="276" w:lineRule="auto"/>
              <w:rPr>
                <w:sz w:val="20"/>
                <w:szCs w:val="21"/>
              </w:rPr>
            </w:pPr>
            <w:r>
              <w:rPr>
                <w:noProof/>
                <w:sz w:val="20"/>
                <w:szCs w:val="21"/>
              </w:rPr>
              <w:drawing>
                <wp:inline distT="0" distB="0" distL="0" distR="0" wp14:anchorId="08598818" wp14:editId="14902766">
                  <wp:extent cx="5963045" cy="4647063"/>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5987144" cy="4665843"/>
                          </a:xfrm>
                          <a:prstGeom prst="rect">
                            <a:avLst/>
                          </a:prstGeom>
                        </pic:spPr>
                      </pic:pic>
                    </a:graphicData>
                  </a:graphic>
                </wp:inline>
              </w:drawing>
            </w:r>
          </w:p>
        </w:tc>
      </w:tr>
    </w:tbl>
    <w:p w14:paraId="33AEE156" w14:textId="77777777" w:rsidR="00A92BEF" w:rsidRPr="001B18BA" w:rsidRDefault="00A92BEF" w:rsidP="00A92BEF">
      <w:pPr>
        <w:ind w:left="360"/>
      </w:pPr>
    </w:p>
    <w:p w14:paraId="570770DD" w14:textId="77777777" w:rsidR="00A92BEF" w:rsidRPr="00E62E7D" w:rsidRDefault="00A92BEF" w:rsidP="00E62E7D">
      <w:pPr>
        <w:sectPr w:rsidR="00A92BEF" w:rsidRPr="00E62E7D" w:rsidSect="007846A6">
          <w:footerReference w:type="default" r:id="rId12"/>
          <w:footerReference w:type="first" r:id="rId13"/>
          <w:pgSz w:w="12240" w:h="15840"/>
          <w:pgMar w:top="706" w:right="720" w:bottom="360" w:left="1008" w:header="490" w:footer="720" w:gutter="0"/>
          <w:cols w:space="720"/>
          <w:titlePg/>
          <w:docGrid w:linePitch="360"/>
        </w:sectPr>
      </w:pPr>
    </w:p>
    <w:p w14:paraId="5381B935" w14:textId="77777777" w:rsidR="00ED330A" w:rsidRDefault="009D1694" w:rsidP="009D1694">
      <w:pPr>
        <w:pStyle w:val="Heading2"/>
        <w:numPr>
          <w:ilvl w:val="1"/>
          <w:numId w:val="1"/>
        </w:numPr>
        <w:ind w:left="900" w:hanging="540"/>
      </w:pPr>
      <w:r>
        <w:lastRenderedPageBreak/>
        <w:t>RELEVÉ DE FLUX DE TRÉSORERIE PRO FORMA</w:t>
      </w:r>
    </w:p>
    <w:tbl>
      <w:tblPr>
        <w:tblStyle w:val="TableGrid"/>
        <w:tblW w:w="0" w:type="auto"/>
        <w:tblInd w:w="350" w:type="dxa"/>
        <w:tblLook w:val="04A0" w:firstRow="1" w:lastRow="0" w:firstColumn="1" w:lastColumn="0" w:noHBand="0" w:noVBand="1"/>
      </w:tblPr>
      <w:tblGrid>
        <w:gridCol w:w="10142"/>
      </w:tblGrid>
      <w:tr w:rsidR="00ED330A" w14:paraId="731340F3" w14:textId="77777777" w:rsidTr="00A30894">
        <w:trPr>
          <w:trHeight w:val="1195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2AB07D0" w14:textId="77777777" w:rsidR="00ED330A" w:rsidRDefault="009D1694" w:rsidP="009D1694">
            <w:pPr>
              <w:spacing w:line="276" w:lineRule="auto"/>
              <w:rPr>
                <w:sz w:val="20"/>
                <w:szCs w:val="21"/>
              </w:rPr>
            </w:pPr>
            <w:r>
              <w:rPr>
                <w:sz w:val="20"/>
              </w:rPr>
              <w:t xml:space="preserve">Utilisez cette section pour fournir un relevé de flux de trésorerie qui donne des détails sur les entrées et sorties de trésorerie prévues que votre entreprise génère à partir des activités d’exploitation, de financement et d’investissement pendant une période donnée. </w:t>
            </w:r>
          </w:p>
          <w:p w14:paraId="66577D11" w14:textId="77777777" w:rsidR="00C61CBF" w:rsidRDefault="00C61CBF" w:rsidP="009D1694">
            <w:pPr>
              <w:spacing w:line="276" w:lineRule="auto"/>
              <w:rPr>
                <w:sz w:val="20"/>
                <w:szCs w:val="21"/>
              </w:rPr>
            </w:pPr>
          </w:p>
          <w:p w14:paraId="4565F275" w14:textId="297E4205" w:rsidR="00ED330A" w:rsidRPr="000F6E6F" w:rsidRDefault="00911868" w:rsidP="002A78D2">
            <w:r w:rsidRPr="00911868">
              <w:rPr>
                <w:noProof/>
              </w:rPr>
              <w:drawing>
                <wp:inline distT="0" distB="0" distL="0" distR="0" wp14:anchorId="2CEFC00E" wp14:editId="0C93ECA4">
                  <wp:extent cx="6149865" cy="44608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4871" cy="4464506"/>
                          </a:xfrm>
                          <a:prstGeom prst="rect">
                            <a:avLst/>
                          </a:prstGeom>
                        </pic:spPr>
                      </pic:pic>
                    </a:graphicData>
                  </a:graphic>
                </wp:inline>
              </w:drawing>
            </w:r>
          </w:p>
        </w:tc>
      </w:tr>
    </w:tbl>
    <w:p w14:paraId="44AFB14C" w14:textId="77777777" w:rsidR="00ED330A" w:rsidRPr="001B18BA" w:rsidRDefault="00ED330A" w:rsidP="00ED330A">
      <w:pPr>
        <w:ind w:left="360"/>
      </w:pPr>
    </w:p>
    <w:p w14:paraId="23319697" w14:textId="77777777" w:rsidR="00ED330A" w:rsidRPr="002731D3" w:rsidRDefault="00ED330A" w:rsidP="00ED330A">
      <w:pPr>
        <w:spacing w:after="0"/>
      </w:pPr>
    </w:p>
    <w:p w14:paraId="406ADA80" w14:textId="77777777" w:rsidR="0099785D" w:rsidRPr="00A30894" w:rsidRDefault="00A30894" w:rsidP="00A30894">
      <w:pPr>
        <w:pStyle w:val="Heading3"/>
        <w:numPr>
          <w:ilvl w:val="1"/>
          <w:numId w:val="1"/>
        </w:numPr>
        <w:ind w:left="1080"/>
        <w:rPr>
          <w:sz w:val="24"/>
          <w:szCs w:val="28"/>
        </w:rPr>
      </w:pPr>
      <w:r>
        <w:rPr>
          <w:sz w:val="24"/>
        </w:rPr>
        <w:lastRenderedPageBreak/>
        <w:t>BILAN PRO FORMA</w:t>
      </w:r>
    </w:p>
    <w:tbl>
      <w:tblPr>
        <w:tblStyle w:val="TableGrid"/>
        <w:tblW w:w="0" w:type="auto"/>
        <w:tblInd w:w="350" w:type="dxa"/>
        <w:tblLook w:val="04A0" w:firstRow="1" w:lastRow="0" w:firstColumn="1" w:lastColumn="0" w:noHBand="0" w:noVBand="1"/>
      </w:tblPr>
      <w:tblGrid>
        <w:gridCol w:w="9990"/>
      </w:tblGrid>
      <w:tr w:rsidR="00ED330A" w14:paraId="71C5EC4F" w14:textId="77777777" w:rsidTr="00214FE7">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E4D2A74" w14:textId="77777777" w:rsidR="00ED330A" w:rsidRDefault="00A30894" w:rsidP="00A30894">
            <w:pPr>
              <w:spacing w:line="276" w:lineRule="auto"/>
              <w:rPr>
                <w:sz w:val="20"/>
                <w:szCs w:val="21"/>
              </w:rPr>
            </w:pPr>
            <w:r>
              <w:rPr>
                <w:sz w:val="20"/>
              </w:rPr>
              <w:t>Utilisez cette section pour ajouter un bilan prévisionnel qui fournit des détails sur la façon dont votre entreprise prévoit de gérer les actifs, y compris les créances et les stocks.</w:t>
            </w:r>
          </w:p>
          <w:p w14:paraId="516288B2" w14:textId="77777777" w:rsidR="00025EEE" w:rsidRDefault="00025EEE" w:rsidP="00A30894">
            <w:pPr>
              <w:spacing w:line="276" w:lineRule="auto"/>
              <w:rPr>
                <w:sz w:val="20"/>
                <w:szCs w:val="21"/>
              </w:rPr>
            </w:pPr>
          </w:p>
          <w:p w14:paraId="4C22E55D" w14:textId="77777777" w:rsidR="00025EEE" w:rsidRPr="00A30894" w:rsidRDefault="00C61CBF" w:rsidP="00A30894">
            <w:pPr>
              <w:spacing w:line="276" w:lineRule="auto"/>
              <w:rPr>
                <w:sz w:val="20"/>
                <w:szCs w:val="21"/>
              </w:rPr>
            </w:pPr>
            <w:r>
              <w:rPr>
                <w:noProof/>
                <w:sz w:val="20"/>
                <w:szCs w:val="21"/>
              </w:rPr>
              <w:drawing>
                <wp:inline distT="0" distB="0" distL="0" distR="0" wp14:anchorId="451BBB16" wp14:editId="0F839083">
                  <wp:extent cx="5957458" cy="4312864"/>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extLst>
                              <a:ext uri="{28A0092B-C50C-407E-A947-70E740481C1C}">
                                <a14:useLocalDpi xmlns:a14="http://schemas.microsoft.com/office/drawing/2010/main" val="0"/>
                              </a:ext>
                            </a:extLst>
                          </a:blip>
                          <a:stretch>
                            <a:fillRect/>
                          </a:stretch>
                        </pic:blipFill>
                        <pic:spPr>
                          <a:xfrm>
                            <a:off x="0" y="0"/>
                            <a:ext cx="5957458" cy="4312864"/>
                          </a:xfrm>
                          <a:prstGeom prst="rect">
                            <a:avLst/>
                          </a:prstGeom>
                        </pic:spPr>
                      </pic:pic>
                    </a:graphicData>
                  </a:graphic>
                </wp:inline>
              </w:drawing>
            </w:r>
          </w:p>
        </w:tc>
      </w:tr>
    </w:tbl>
    <w:p w14:paraId="5107967F" w14:textId="77777777" w:rsidR="00ED330A" w:rsidRDefault="00ED330A" w:rsidP="00ED330A">
      <w:pPr>
        <w:spacing w:after="0"/>
      </w:pPr>
    </w:p>
    <w:p w14:paraId="2B257375" w14:textId="77777777" w:rsidR="00ED330A" w:rsidRPr="00ED330A" w:rsidRDefault="00ED330A" w:rsidP="00ED330A"/>
    <w:p w14:paraId="56CB29DE" w14:textId="77777777" w:rsidR="0029626D" w:rsidRDefault="0029626D" w:rsidP="0029626D">
      <w:pPr>
        <w:spacing w:after="0"/>
        <w:ind w:left="360"/>
        <w:sectPr w:rsidR="0029626D" w:rsidSect="007846A6">
          <w:pgSz w:w="12240" w:h="15840"/>
          <w:pgMar w:top="670" w:right="720" w:bottom="360" w:left="1008" w:header="490" w:footer="720" w:gutter="0"/>
          <w:cols w:space="720"/>
          <w:titlePg/>
          <w:docGrid w:linePitch="360"/>
        </w:sectPr>
      </w:pPr>
    </w:p>
    <w:p w14:paraId="4B1205BC" w14:textId="77777777" w:rsidR="004F536F" w:rsidRDefault="004F536F" w:rsidP="002731D3">
      <w:pPr>
        <w:spacing w:after="0"/>
      </w:pPr>
    </w:p>
    <w:p w14:paraId="0D72E035"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7BCD53F4" w14:textId="77777777" w:rsidTr="006A0235">
        <w:trPr>
          <w:trHeight w:val="3002"/>
        </w:trPr>
        <w:tc>
          <w:tcPr>
            <w:tcW w:w="9662" w:type="dxa"/>
          </w:tcPr>
          <w:p w14:paraId="0B0FFBBE" w14:textId="77777777" w:rsidR="00A64F9A" w:rsidRPr="00A64F9A" w:rsidRDefault="00A64F9A" w:rsidP="00916890">
            <w:pPr>
              <w:jc w:val="center"/>
              <w:rPr>
                <w:b/>
                <w:sz w:val="20"/>
              </w:rPr>
            </w:pPr>
          </w:p>
          <w:p w14:paraId="7F395B1F" w14:textId="77777777" w:rsidR="00A64F9A" w:rsidRPr="00A64F9A" w:rsidRDefault="00A64F9A" w:rsidP="00916890">
            <w:pPr>
              <w:jc w:val="center"/>
              <w:rPr>
                <w:b/>
                <w:sz w:val="20"/>
              </w:rPr>
            </w:pPr>
            <w:r>
              <w:rPr>
                <w:b/>
                <w:sz w:val="20"/>
              </w:rPr>
              <w:t>EXCLUSION DE RESPONSABILITÉ</w:t>
            </w:r>
          </w:p>
          <w:p w14:paraId="5669AFD1" w14:textId="77777777" w:rsidR="00A64F9A" w:rsidRPr="00A64F9A" w:rsidRDefault="00A64F9A" w:rsidP="00916890">
            <w:pPr>
              <w:rPr>
                <w:sz w:val="20"/>
              </w:rPr>
            </w:pPr>
          </w:p>
          <w:p w14:paraId="2F8AD2FF" w14:textId="77777777" w:rsidR="00A64F9A" w:rsidRPr="00A64F9A" w:rsidRDefault="00A64F9A" w:rsidP="00916890">
            <w:pPr>
              <w:spacing w:line="276" w:lineRule="auto"/>
              <w:rPr>
                <w:sz w:val="20"/>
              </w:rPr>
            </w:pPr>
            <w:r>
              <w:rPr>
                <w:sz w:val="20"/>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0F1AB73F" w14:textId="77777777" w:rsidR="00A64F9A" w:rsidRPr="00C805C2" w:rsidRDefault="00A64F9A" w:rsidP="00C805C2">
      <w:pPr>
        <w:rPr>
          <w:sz w:val="20"/>
          <w:szCs w:val="20"/>
        </w:rPr>
      </w:pPr>
    </w:p>
    <w:sectPr w:rsidR="00A64F9A" w:rsidRPr="00C805C2" w:rsidSect="007846A6">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1C4C" w14:textId="77777777" w:rsidR="007846A6" w:rsidRDefault="007846A6" w:rsidP="00480F66">
      <w:pPr>
        <w:spacing w:after="0"/>
      </w:pPr>
      <w:r>
        <w:separator/>
      </w:r>
    </w:p>
  </w:endnote>
  <w:endnote w:type="continuationSeparator" w:id="0">
    <w:p w14:paraId="0453822D" w14:textId="77777777" w:rsidR="007846A6" w:rsidRDefault="007846A6"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C730"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2</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D9E4"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21C" w14:textId="77777777" w:rsidR="007846A6" w:rsidRDefault="007846A6" w:rsidP="00480F66">
      <w:pPr>
        <w:spacing w:after="0"/>
      </w:pPr>
      <w:r>
        <w:separator/>
      </w:r>
    </w:p>
  </w:footnote>
  <w:footnote w:type="continuationSeparator" w:id="0">
    <w:p w14:paraId="6B8A1935" w14:textId="77777777" w:rsidR="007846A6" w:rsidRDefault="007846A6"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B2283D"/>
    <w:multiLevelType w:val="hybridMultilevel"/>
    <w:tmpl w:val="E1063B6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6505B21"/>
    <w:multiLevelType w:val="multilevel"/>
    <w:tmpl w:val="FF481D56"/>
    <w:lvl w:ilvl="0">
      <w:start w:val="1"/>
      <w:numFmt w:val="decimal"/>
      <w:lvlText w:val="%1."/>
      <w:lvlJc w:val="left"/>
      <w:pPr>
        <w:ind w:left="540" w:hanging="360"/>
      </w:pPr>
      <w:rPr>
        <w:rFonts w:hint="default"/>
        <w:sz w:val="28"/>
      </w:rPr>
    </w:lvl>
    <w:lvl w:ilvl="1">
      <w:start w:val="1"/>
      <w:numFmt w:val="decimal"/>
      <w:isLgl/>
      <w:lvlText w:val="%1.%2"/>
      <w:lvlJc w:val="left"/>
      <w:pPr>
        <w:ind w:left="1980" w:hanging="72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41911320">
    <w:abstractNumId w:val="4"/>
  </w:num>
  <w:num w:numId="2" w16cid:durableId="1107382697">
    <w:abstractNumId w:val="2"/>
  </w:num>
  <w:num w:numId="3" w16cid:durableId="574323569">
    <w:abstractNumId w:val="3"/>
  </w:num>
  <w:num w:numId="4" w16cid:durableId="1753695826">
    <w:abstractNumId w:val="5"/>
  </w:num>
  <w:num w:numId="5" w16cid:durableId="944767599">
    <w:abstractNumId w:val="0"/>
  </w:num>
  <w:num w:numId="6" w16cid:durableId="1666863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23B50"/>
    <w:rsid w:val="000124C0"/>
    <w:rsid w:val="00013EDA"/>
    <w:rsid w:val="00025EEE"/>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767DA"/>
    <w:rsid w:val="00383364"/>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428F"/>
    <w:rsid w:val="004F536F"/>
    <w:rsid w:val="00517CA8"/>
    <w:rsid w:val="005209E2"/>
    <w:rsid w:val="0053041A"/>
    <w:rsid w:val="005334A1"/>
    <w:rsid w:val="00541C9F"/>
    <w:rsid w:val="00541D2D"/>
    <w:rsid w:val="00563D5D"/>
    <w:rsid w:val="00570608"/>
    <w:rsid w:val="0058391B"/>
    <w:rsid w:val="005D0142"/>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23B50"/>
    <w:rsid w:val="00744401"/>
    <w:rsid w:val="00756CC3"/>
    <w:rsid w:val="00770091"/>
    <w:rsid w:val="0077063E"/>
    <w:rsid w:val="00772B25"/>
    <w:rsid w:val="00773199"/>
    <w:rsid w:val="007846A6"/>
    <w:rsid w:val="007871F5"/>
    <w:rsid w:val="007A03C5"/>
    <w:rsid w:val="007B7C0B"/>
    <w:rsid w:val="007C2D33"/>
    <w:rsid w:val="007E79B5"/>
    <w:rsid w:val="007F0342"/>
    <w:rsid w:val="007F1D65"/>
    <w:rsid w:val="007F44A4"/>
    <w:rsid w:val="007F744B"/>
    <w:rsid w:val="00801DF5"/>
    <w:rsid w:val="00802E66"/>
    <w:rsid w:val="008106B4"/>
    <w:rsid w:val="008469E6"/>
    <w:rsid w:val="008476E7"/>
    <w:rsid w:val="00854E82"/>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1868"/>
    <w:rsid w:val="00916890"/>
    <w:rsid w:val="0091722A"/>
    <w:rsid w:val="0092169A"/>
    <w:rsid w:val="009323A7"/>
    <w:rsid w:val="00947186"/>
    <w:rsid w:val="009524A2"/>
    <w:rsid w:val="00955D6F"/>
    <w:rsid w:val="0099785D"/>
    <w:rsid w:val="009A177A"/>
    <w:rsid w:val="009B24E9"/>
    <w:rsid w:val="009B3F85"/>
    <w:rsid w:val="009B4796"/>
    <w:rsid w:val="009C7154"/>
    <w:rsid w:val="009D1694"/>
    <w:rsid w:val="009E4124"/>
    <w:rsid w:val="009F19C0"/>
    <w:rsid w:val="009F740D"/>
    <w:rsid w:val="00A035AC"/>
    <w:rsid w:val="00A11A26"/>
    <w:rsid w:val="00A122C8"/>
    <w:rsid w:val="00A15E56"/>
    <w:rsid w:val="00A30894"/>
    <w:rsid w:val="00A54153"/>
    <w:rsid w:val="00A57082"/>
    <w:rsid w:val="00A64F9A"/>
    <w:rsid w:val="00A6517C"/>
    <w:rsid w:val="00A72DB9"/>
    <w:rsid w:val="00A81B1E"/>
    <w:rsid w:val="00A87F35"/>
    <w:rsid w:val="00A92BEF"/>
    <w:rsid w:val="00AC41EA"/>
    <w:rsid w:val="00AC78FF"/>
    <w:rsid w:val="00AD4BAB"/>
    <w:rsid w:val="00AD6304"/>
    <w:rsid w:val="00AE4F63"/>
    <w:rsid w:val="00B02081"/>
    <w:rsid w:val="00B02B63"/>
    <w:rsid w:val="00B11A9D"/>
    <w:rsid w:val="00B13473"/>
    <w:rsid w:val="00B14E5B"/>
    <w:rsid w:val="00B32BCA"/>
    <w:rsid w:val="00B41B66"/>
    <w:rsid w:val="00B62C98"/>
    <w:rsid w:val="00B730AE"/>
    <w:rsid w:val="00B84C2A"/>
    <w:rsid w:val="00B954B2"/>
    <w:rsid w:val="00BD0B57"/>
    <w:rsid w:val="00BE210B"/>
    <w:rsid w:val="00BE75A6"/>
    <w:rsid w:val="00BF08D2"/>
    <w:rsid w:val="00BF39E1"/>
    <w:rsid w:val="00C1073A"/>
    <w:rsid w:val="00C24B15"/>
    <w:rsid w:val="00C41E1D"/>
    <w:rsid w:val="00C454ED"/>
    <w:rsid w:val="00C4718F"/>
    <w:rsid w:val="00C54EC5"/>
    <w:rsid w:val="00C61CB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B5610"/>
    <w:rsid w:val="00ED330A"/>
    <w:rsid w:val="00EE04AB"/>
    <w:rsid w:val="00F05F3A"/>
    <w:rsid w:val="00F21222"/>
    <w:rsid w:val="00F27C67"/>
    <w:rsid w:val="00F303EB"/>
    <w:rsid w:val="00F31A79"/>
    <w:rsid w:val="00F4066E"/>
    <w:rsid w:val="00F46CF3"/>
    <w:rsid w:val="00F74321"/>
    <w:rsid w:val="00F8234D"/>
    <w:rsid w:val="00F841E3"/>
    <w:rsid w:val="00FA7A23"/>
    <w:rsid w:val="00FC684E"/>
    <w:rsid w:val="00FD5E86"/>
    <w:rsid w:val="00FD76BD"/>
    <w:rsid w:val="00FE15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E18B"/>
  <w15:docId w15:val="{0BC23B33-8B8D-7B4C-9382-EE26EA4E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BalloonText">
    <w:name w:val="Balloon Text"/>
    <w:basedOn w:val="Normal"/>
    <w:link w:val="BalloonTextChar"/>
    <w:uiPriority w:val="99"/>
    <w:semiHidden/>
    <w:unhideWhenUsed/>
    <w:rsid w:val="00A570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858&amp;utm_language=FR&amp;utm_source=template-word&amp;utm_medium=content&amp;utm_campaign=ic-Financial+Plan-word-17858-fr&amp;lpa=ic+Financial+Plan+word+17858+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735C-0F28-46E7-9B16-5C01A0B0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5</cp:revision>
  <cp:lastPrinted>2020-04-01T21:02:00Z</cp:lastPrinted>
  <dcterms:created xsi:type="dcterms:W3CDTF">2023-07-07T20:04:00Z</dcterms:created>
  <dcterms:modified xsi:type="dcterms:W3CDTF">2024-01-03T19:07:00Z</dcterms:modified>
</cp:coreProperties>
</file>